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line="240" w:lineRule="auto"/>
        <w:ind w:firstLine="562"/>
        <w:jc w:val="right"/>
        <w:rPr>
          <w:rFonts w:ascii="楷体" w:hAnsi="楷体" w:eastAsia="楷体" w:cs="宋体"/>
          <w:b/>
          <w:bCs/>
          <w:color w:val="auto"/>
          <w:sz w:val="28"/>
          <w:szCs w:val="28"/>
          <w:highlight w:val="none"/>
        </w:rPr>
      </w:pPr>
    </w:p>
    <w:p>
      <w:pPr>
        <w:keepNext w:val="0"/>
        <w:keepLines w:val="0"/>
        <w:pageBreakBefore w:val="0"/>
        <w:widowControl w:val="0"/>
        <w:kinsoku/>
        <w:overflowPunct/>
        <w:topLinePunct w:val="0"/>
        <w:autoSpaceDE/>
        <w:autoSpaceDN/>
        <w:bidi w:val="0"/>
        <w:adjustRightInd w:val="0"/>
        <w:snapToGrid w:val="0"/>
        <w:spacing w:line="240" w:lineRule="auto"/>
        <w:ind w:firstLine="562"/>
        <w:jc w:val="right"/>
        <w:rPr>
          <w:rFonts w:ascii="楷体" w:hAnsi="楷体" w:eastAsia="楷体" w:cs="宋体"/>
          <w:b/>
          <w:bCs/>
          <w:color w:val="auto"/>
          <w:sz w:val="28"/>
          <w:szCs w:val="28"/>
          <w:highlight w:val="none"/>
        </w:rPr>
      </w:pPr>
    </w:p>
    <w:p>
      <w:pPr>
        <w:keepNext w:val="0"/>
        <w:keepLines w:val="0"/>
        <w:pageBreakBefore w:val="0"/>
        <w:widowControl w:val="0"/>
        <w:kinsoku/>
        <w:overflowPunct/>
        <w:topLinePunct w:val="0"/>
        <w:autoSpaceDE/>
        <w:autoSpaceDN/>
        <w:bidi w:val="0"/>
        <w:spacing w:line="360" w:lineRule="auto"/>
        <w:ind w:firstLine="643"/>
        <w:jc w:val="right"/>
        <w:rPr>
          <w:rFonts w:hAnsi="宋体"/>
          <w:b/>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8"/>
          <w:szCs w:val="48"/>
          <w:highlight w:val="none"/>
          <w:lang w:eastAsia="zh-CN"/>
        </w:rPr>
      </w:pPr>
      <w:r>
        <w:rPr>
          <w:rFonts w:hint="eastAsia" w:ascii="方正小标宋简体" w:hAnsi="方正小标宋简体" w:eastAsia="方正小标宋简体" w:cs="方正小标宋简体"/>
          <w:b w:val="0"/>
          <w:bCs/>
          <w:color w:val="auto"/>
          <w:sz w:val="48"/>
          <w:szCs w:val="48"/>
          <w:highlight w:val="none"/>
          <w:lang w:eastAsia="zh-CN"/>
        </w:rPr>
        <w:t>中共甘肃省委机构编制委员会办公室</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ascii="方正小标宋简体" w:hAnsi="方正小标宋简体" w:eastAsia="方正小标宋简体" w:cs="方正小标宋简体"/>
          <w:b w:val="0"/>
          <w:bCs/>
          <w:color w:val="auto"/>
          <w:sz w:val="48"/>
          <w:szCs w:val="48"/>
          <w:highlight w:val="none"/>
        </w:rPr>
      </w:pPr>
      <w:r>
        <w:rPr>
          <w:rFonts w:hint="eastAsia" w:ascii="方正小标宋简体" w:hAnsi="方正小标宋简体" w:eastAsia="方正小标宋简体" w:cs="方正小标宋简体"/>
          <w:b w:val="0"/>
          <w:bCs/>
          <w:color w:val="auto"/>
          <w:sz w:val="48"/>
          <w:szCs w:val="48"/>
          <w:highlight w:val="none"/>
          <w:lang w:val="en-US" w:eastAsia="zh-CN"/>
        </w:rPr>
        <w:t>2021年</w:t>
      </w:r>
      <w:r>
        <w:rPr>
          <w:rFonts w:hint="eastAsia" w:ascii="方正小标宋简体" w:hAnsi="方正小标宋简体" w:eastAsia="方正小标宋简体" w:cs="方正小标宋简体"/>
          <w:b w:val="0"/>
          <w:bCs/>
          <w:color w:val="auto"/>
          <w:sz w:val="48"/>
          <w:szCs w:val="48"/>
          <w:highlight w:val="none"/>
          <w:lang w:eastAsia="zh-CN"/>
        </w:rPr>
        <w:t>业务费项目支出</w:t>
      </w:r>
      <w:r>
        <w:rPr>
          <w:rFonts w:hint="eastAsia" w:ascii="方正小标宋简体" w:hAnsi="方正小标宋简体" w:eastAsia="方正小标宋简体" w:cs="方正小标宋简体"/>
          <w:b w:val="0"/>
          <w:bCs/>
          <w:color w:val="auto"/>
          <w:sz w:val="48"/>
          <w:szCs w:val="48"/>
          <w:highlight w:val="none"/>
        </w:rPr>
        <w:t>绩效评价报告</w:t>
      </w:r>
    </w:p>
    <w:p>
      <w:pPr>
        <w:bidi w:val="0"/>
      </w:pPr>
    </w:p>
    <w:p>
      <w:pPr>
        <w:bidi w:val="0"/>
      </w:pPr>
    </w:p>
    <w:p>
      <w:pPr>
        <w:bidi w:val="0"/>
      </w:pPr>
    </w:p>
    <w:p>
      <w:pPr>
        <w:bidi w:val="0"/>
      </w:pPr>
    </w:p>
    <w:p>
      <w:pPr>
        <w:bidi w:val="0"/>
      </w:pPr>
    </w:p>
    <w:p>
      <w:pPr>
        <w:bidi w:val="0"/>
      </w:pPr>
    </w:p>
    <w:p>
      <w:pPr>
        <w:keepNext w:val="0"/>
        <w:keepLines w:val="0"/>
        <w:pageBreakBefore w:val="0"/>
        <w:widowControl w:val="0"/>
        <w:kinsoku/>
        <w:overflowPunct/>
        <w:topLinePunct w:val="0"/>
        <w:autoSpaceDE/>
        <w:autoSpaceDN/>
        <w:bidi w:val="0"/>
        <w:spacing w:line="578" w:lineRule="exact"/>
        <w:ind w:left="4160" w:hanging="4160" w:hangingChars="1300"/>
        <w:rPr>
          <w:rFonts w:hint="default" w:hAnsi="仿宋" w:cs="仿宋"/>
          <w:color w:val="auto"/>
          <w:szCs w:val="32"/>
          <w:highlight w:val="none"/>
          <w:u w:val="single"/>
          <w:lang w:val="en-US" w:eastAsia="zh-CN"/>
        </w:rPr>
      </w:pPr>
      <w:r>
        <w:rPr>
          <w:rFonts w:hint="eastAsia" w:hAnsi="仿宋" w:cs="仿宋"/>
          <w:color w:val="FF0000"/>
          <w:szCs w:val="32"/>
          <w:highlight w:val="none"/>
        </w:rPr>
        <w:t xml:space="preserve">  </w:t>
      </w:r>
      <w:r>
        <w:rPr>
          <w:rFonts w:hint="eastAsia" w:hAnsi="仿宋" w:cs="仿宋"/>
          <w:color w:val="auto"/>
          <w:szCs w:val="32"/>
          <w:highlight w:val="none"/>
        </w:rPr>
        <w:t>项</w:t>
      </w:r>
      <w:r>
        <w:rPr>
          <w:rFonts w:hint="eastAsia" w:hAnsi="仿宋" w:cs="仿宋"/>
          <w:color w:val="auto"/>
          <w:szCs w:val="32"/>
          <w:highlight w:val="none"/>
          <w:lang w:val="en-US" w:eastAsia="zh-CN"/>
        </w:rPr>
        <w:t xml:space="preserve"> </w:t>
      </w:r>
      <w:r>
        <w:rPr>
          <w:rFonts w:hint="eastAsia" w:hAnsi="仿宋" w:cs="仿宋"/>
          <w:color w:val="auto"/>
          <w:szCs w:val="32"/>
          <w:highlight w:val="none"/>
        </w:rPr>
        <w:t>目</w:t>
      </w:r>
      <w:r>
        <w:rPr>
          <w:rFonts w:hint="eastAsia" w:hAnsi="仿宋" w:cs="仿宋"/>
          <w:color w:val="auto"/>
          <w:szCs w:val="32"/>
          <w:highlight w:val="none"/>
          <w:lang w:val="en-US" w:eastAsia="zh-CN"/>
        </w:rPr>
        <w:t xml:space="preserve"> </w:t>
      </w:r>
      <w:r>
        <w:rPr>
          <w:rFonts w:hint="eastAsia" w:hAnsi="仿宋" w:cs="仿宋"/>
          <w:color w:val="auto"/>
          <w:szCs w:val="32"/>
          <w:highlight w:val="none"/>
        </w:rPr>
        <w:t>名</w:t>
      </w:r>
      <w:r>
        <w:rPr>
          <w:rFonts w:hint="eastAsia" w:hAnsi="仿宋" w:cs="仿宋"/>
          <w:color w:val="auto"/>
          <w:szCs w:val="32"/>
          <w:highlight w:val="none"/>
          <w:lang w:val="en-US" w:eastAsia="zh-CN"/>
        </w:rPr>
        <w:t xml:space="preserve"> </w:t>
      </w:r>
      <w:r>
        <w:rPr>
          <w:rFonts w:hint="eastAsia" w:hAnsi="仿宋" w:cs="仿宋"/>
          <w:color w:val="auto"/>
          <w:szCs w:val="32"/>
          <w:highlight w:val="none"/>
        </w:rPr>
        <w:t>称</w:t>
      </w:r>
      <w:r>
        <w:rPr>
          <w:rFonts w:hint="eastAsia" w:hAnsi="仿宋" w:cs="仿宋"/>
          <w:color w:val="auto"/>
          <w:szCs w:val="32"/>
          <w:highlight w:val="none"/>
          <w:lang w:eastAsia="zh-CN"/>
        </w:rPr>
        <w:t>：</w:t>
      </w:r>
      <w:r>
        <w:rPr>
          <w:rFonts w:hint="eastAsia" w:hAnsi="仿宋" w:cs="仿宋"/>
          <w:color w:val="auto"/>
          <w:szCs w:val="32"/>
          <w:highlight w:val="none"/>
          <w:lang w:val="en-US" w:eastAsia="zh-CN"/>
        </w:rPr>
        <w:t xml:space="preserve"> </w:t>
      </w:r>
      <w:r>
        <w:rPr>
          <w:rFonts w:hint="eastAsia" w:hAnsi="仿宋" w:cs="仿宋"/>
          <w:color w:val="auto"/>
          <w:szCs w:val="32"/>
          <w:highlight w:val="none"/>
          <w:u w:val="single"/>
          <w:lang w:eastAsia="zh-CN"/>
        </w:rPr>
        <w:t>中共</w:t>
      </w:r>
      <w:r>
        <w:rPr>
          <w:rFonts w:hint="eastAsia" w:hAnsi="仿宋" w:cs="仿宋"/>
          <w:color w:val="auto"/>
          <w:szCs w:val="32"/>
          <w:highlight w:val="none"/>
          <w:u w:val="single"/>
          <w:lang w:val="en-US" w:eastAsia="zh-CN"/>
        </w:rPr>
        <w:t xml:space="preserve">甘肃省委机构编制委员会办公室    </w:t>
      </w:r>
    </w:p>
    <w:p>
      <w:pPr>
        <w:keepNext w:val="0"/>
        <w:keepLines w:val="0"/>
        <w:pageBreakBefore w:val="0"/>
        <w:widowControl w:val="0"/>
        <w:kinsoku/>
        <w:overflowPunct/>
        <w:topLinePunct w:val="0"/>
        <w:autoSpaceDE/>
        <w:autoSpaceDN/>
        <w:bidi w:val="0"/>
        <w:spacing w:line="578" w:lineRule="exact"/>
        <w:ind w:firstLine="2560" w:firstLineChars="800"/>
        <w:rPr>
          <w:rFonts w:hint="default" w:hAnsi="仿宋" w:eastAsia="仿宋_GB2312" w:cs="仿宋"/>
          <w:color w:val="auto"/>
          <w:szCs w:val="32"/>
          <w:highlight w:val="none"/>
          <w:lang w:val="en-US" w:eastAsia="zh-CN"/>
        </w:rPr>
      </w:pPr>
      <w:r>
        <w:rPr>
          <w:rFonts w:hint="eastAsia" w:hAnsi="仿宋" w:cs="仿宋"/>
          <w:color w:val="auto"/>
          <w:szCs w:val="32"/>
          <w:highlight w:val="none"/>
          <w:u w:val="single"/>
          <w:lang w:val="en-US" w:eastAsia="zh-CN"/>
        </w:rPr>
        <w:t xml:space="preserve">       2021年业务费项目                        </w:t>
      </w:r>
    </w:p>
    <w:p>
      <w:pPr>
        <w:keepNext w:val="0"/>
        <w:keepLines w:val="0"/>
        <w:pageBreakBefore w:val="0"/>
        <w:widowControl w:val="0"/>
        <w:kinsoku/>
        <w:overflowPunct/>
        <w:topLinePunct w:val="0"/>
        <w:autoSpaceDE/>
        <w:autoSpaceDN/>
        <w:bidi w:val="0"/>
        <w:spacing w:line="578" w:lineRule="exact"/>
        <w:ind w:left="1600" w:hanging="1600" w:hangingChars="500"/>
        <w:rPr>
          <w:rFonts w:hint="default" w:hAnsi="仿宋" w:cs="仿宋"/>
          <w:color w:val="auto"/>
          <w:szCs w:val="32"/>
          <w:highlight w:val="none"/>
          <w:u w:val="single"/>
          <w:lang w:val="en-US" w:eastAsia="zh-CN"/>
        </w:rPr>
      </w:pPr>
      <w:r>
        <w:rPr>
          <w:rFonts w:hint="eastAsia" w:hAnsi="仿宋" w:cs="仿宋"/>
          <w:color w:val="auto"/>
          <w:szCs w:val="32"/>
          <w:highlight w:val="none"/>
        </w:rPr>
        <w:t xml:space="preserve">  项目主管部门：</w:t>
      </w:r>
      <w:r>
        <w:rPr>
          <w:rFonts w:hint="eastAsia" w:hAnsi="仿宋" w:cs="仿宋"/>
          <w:color w:val="auto"/>
          <w:szCs w:val="32"/>
          <w:highlight w:val="none"/>
          <w:u w:val="single"/>
          <w:lang w:val="en-US" w:eastAsia="zh-CN"/>
        </w:rPr>
        <w:t xml:space="preserve">中共甘肃省委机构编制委员会办公室        </w:t>
      </w:r>
    </w:p>
    <w:p>
      <w:pPr>
        <w:keepNext w:val="0"/>
        <w:keepLines w:val="0"/>
        <w:pageBreakBefore w:val="0"/>
        <w:widowControl w:val="0"/>
        <w:kinsoku/>
        <w:overflowPunct/>
        <w:topLinePunct w:val="0"/>
        <w:autoSpaceDE/>
        <w:autoSpaceDN/>
        <w:bidi w:val="0"/>
        <w:spacing w:line="578" w:lineRule="exact"/>
        <w:ind w:left="0" w:leftChars="0" w:firstLine="0" w:firstLineChars="0"/>
        <w:rPr>
          <w:rFonts w:hAnsi="仿宋" w:cs="仿宋"/>
          <w:color w:val="auto"/>
          <w:szCs w:val="32"/>
          <w:highlight w:val="none"/>
        </w:rPr>
      </w:pPr>
      <w:r>
        <w:rPr>
          <w:rFonts w:hint="eastAsia" w:hAnsi="仿宋" w:cs="仿宋"/>
          <w:color w:val="auto"/>
          <w:szCs w:val="32"/>
          <w:highlight w:val="none"/>
        </w:rPr>
        <w:t xml:space="preserve">  </w:t>
      </w:r>
      <w:r>
        <w:rPr>
          <w:rFonts w:hint="eastAsia" w:hAnsi="仿宋" w:cs="仿宋"/>
          <w:color w:val="auto"/>
          <w:szCs w:val="32"/>
          <w:highlight w:val="none"/>
          <w:lang w:eastAsia="zh-CN"/>
        </w:rPr>
        <w:t>评价实施部门</w:t>
      </w:r>
      <w:r>
        <w:rPr>
          <w:rFonts w:hint="eastAsia" w:hAnsi="仿宋" w:cs="仿宋"/>
          <w:color w:val="auto"/>
          <w:szCs w:val="32"/>
          <w:highlight w:val="none"/>
        </w:rPr>
        <w:t>：</w:t>
      </w:r>
      <w:r>
        <w:rPr>
          <w:rFonts w:hint="eastAsia" w:hAnsi="仿宋" w:cs="仿宋"/>
          <w:color w:val="auto"/>
          <w:szCs w:val="32"/>
          <w:highlight w:val="none"/>
          <w:u w:val="single"/>
          <w:lang w:eastAsia="zh-CN"/>
        </w:rPr>
        <w:t>中共</w:t>
      </w:r>
      <w:r>
        <w:rPr>
          <w:rFonts w:hint="eastAsia" w:hAnsi="仿宋" w:cs="仿宋"/>
          <w:color w:val="auto"/>
          <w:szCs w:val="32"/>
          <w:highlight w:val="none"/>
          <w:u w:val="single"/>
          <w:lang w:val="en-US" w:eastAsia="zh-CN"/>
        </w:rPr>
        <w:t xml:space="preserve">甘肃省委机构编制委员会办公室        </w:t>
      </w:r>
    </w:p>
    <w:p>
      <w:pPr>
        <w:keepNext w:val="0"/>
        <w:keepLines w:val="0"/>
        <w:pageBreakBefore w:val="0"/>
        <w:widowControl w:val="0"/>
        <w:kinsoku/>
        <w:overflowPunct/>
        <w:topLinePunct w:val="0"/>
        <w:autoSpaceDE/>
        <w:autoSpaceDN/>
        <w:bidi w:val="0"/>
        <w:spacing w:line="578" w:lineRule="exact"/>
        <w:ind w:left="1600" w:hanging="1600" w:hangingChars="500"/>
        <w:rPr>
          <w:rFonts w:hint="default" w:hAnsi="仿宋" w:eastAsia="仿宋_GB2312" w:cs="仿宋"/>
          <w:color w:val="auto"/>
          <w:szCs w:val="32"/>
          <w:highlight w:val="none"/>
          <w:lang w:val="en-US" w:eastAsia="zh-CN"/>
        </w:rPr>
      </w:pPr>
      <w:r>
        <w:rPr>
          <w:rFonts w:hint="eastAsia" w:hAnsi="仿宋" w:cs="仿宋"/>
          <w:color w:val="auto"/>
          <w:szCs w:val="32"/>
          <w:highlight w:val="none"/>
        </w:rPr>
        <w:t xml:space="preserve"> </w:t>
      </w:r>
      <w:r>
        <w:rPr>
          <w:rFonts w:hAnsi="仿宋" w:cs="仿宋"/>
          <w:color w:val="auto"/>
          <w:szCs w:val="32"/>
          <w:highlight w:val="none"/>
        </w:rPr>
        <w:t xml:space="preserve"> </w:t>
      </w:r>
      <w:r>
        <w:rPr>
          <w:rFonts w:hint="eastAsia" w:hAnsi="仿宋" w:cs="仿宋"/>
          <w:color w:val="auto"/>
          <w:szCs w:val="32"/>
          <w:highlight w:val="none"/>
        </w:rPr>
        <w:t>评价机构</w:t>
      </w:r>
      <w:r>
        <w:rPr>
          <w:rFonts w:hint="eastAsia" w:hAnsi="仿宋" w:cs="仿宋"/>
          <w:color w:val="auto"/>
          <w:szCs w:val="32"/>
          <w:highlight w:val="none"/>
          <w:lang w:eastAsia="zh-CN"/>
        </w:rPr>
        <w:t>名称</w:t>
      </w:r>
      <w:r>
        <w:rPr>
          <w:rFonts w:hint="eastAsia" w:hAnsi="仿宋" w:cs="仿宋"/>
          <w:color w:val="auto"/>
          <w:szCs w:val="32"/>
          <w:highlight w:val="none"/>
        </w:rPr>
        <w:t>：</w:t>
      </w:r>
      <w:r>
        <w:rPr>
          <w:rFonts w:hint="eastAsia" w:hAnsi="仿宋" w:cs="仿宋"/>
          <w:color w:val="auto"/>
          <w:szCs w:val="32"/>
          <w:highlight w:val="none"/>
          <w:u w:val="single"/>
          <w:lang w:eastAsia="zh-CN"/>
        </w:rPr>
        <w:t>中共</w:t>
      </w:r>
      <w:r>
        <w:rPr>
          <w:rFonts w:hint="eastAsia" w:hAnsi="仿宋" w:cs="仿宋"/>
          <w:color w:val="auto"/>
          <w:szCs w:val="32"/>
          <w:highlight w:val="none"/>
          <w:u w:val="single"/>
          <w:lang w:val="en-US" w:eastAsia="zh-CN"/>
        </w:rPr>
        <w:t xml:space="preserve">甘肃省委机构编制委员会办公室    </w:t>
      </w:r>
    </w:p>
    <w:p>
      <w:pPr>
        <w:keepNext w:val="0"/>
        <w:keepLines w:val="0"/>
        <w:pageBreakBefore w:val="0"/>
        <w:widowControl w:val="0"/>
        <w:kinsoku/>
        <w:overflowPunct/>
        <w:topLinePunct w:val="0"/>
        <w:autoSpaceDE/>
        <w:autoSpaceDN/>
        <w:bidi w:val="0"/>
        <w:spacing w:line="578" w:lineRule="exact"/>
        <w:ind w:left="0" w:leftChars="0" w:firstLine="0" w:firstLineChars="0"/>
        <w:rPr>
          <w:rFonts w:hAnsi="仿宋" w:cs="仿宋"/>
          <w:color w:val="FF0000"/>
          <w:szCs w:val="32"/>
          <w:highlight w:val="none"/>
        </w:rPr>
      </w:pPr>
    </w:p>
    <w:p>
      <w:pPr>
        <w:keepNext w:val="0"/>
        <w:keepLines w:val="0"/>
        <w:pageBreakBefore w:val="0"/>
        <w:widowControl w:val="0"/>
        <w:kinsoku/>
        <w:overflowPunct/>
        <w:topLinePunct w:val="0"/>
        <w:autoSpaceDE/>
        <w:autoSpaceDN/>
        <w:bidi w:val="0"/>
        <w:spacing w:line="578" w:lineRule="exact"/>
        <w:ind w:left="0" w:leftChars="0" w:firstLine="0" w:firstLineChars="0"/>
        <w:rPr>
          <w:rFonts w:hAnsi="仿宋" w:cs="仿宋"/>
          <w:color w:val="FF0000"/>
          <w:szCs w:val="32"/>
          <w:highlight w:val="none"/>
        </w:rPr>
      </w:pPr>
    </w:p>
    <w:p>
      <w:pPr>
        <w:keepNext w:val="0"/>
        <w:keepLines w:val="0"/>
        <w:pageBreakBefore w:val="0"/>
        <w:widowControl w:val="0"/>
        <w:kinsoku/>
        <w:overflowPunct/>
        <w:topLinePunct w:val="0"/>
        <w:autoSpaceDE/>
        <w:autoSpaceDN/>
        <w:bidi w:val="0"/>
        <w:spacing w:line="578" w:lineRule="exact"/>
        <w:ind w:firstLine="0" w:firstLineChars="0"/>
        <w:rPr>
          <w:rFonts w:hint="eastAsia" w:hAnsi="仿宋" w:cs="仿宋"/>
          <w:color w:val="FF0000"/>
          <w:szCs w:val="32"/>
          <w:highlight w:val="none"/>
        </w:rPr>
      </w:pPr>
    </w:p>
    <w:p>
      <w:pPr>
        <w:keepNext w:val="0"/>
        <w:keepLines w:val="0"/>
        <w:pageBreakBefore w:val="0"/>
        <w:widowControl w:val="0"/>
        <w:kinsoku/>
        <w:overflowPunct/>
        <w:topLinePunct w:val="0"/>
        <w:autoSpaceDE/>
        <w:autoSpaceDN/>
        <w:bidi w:val="0"/>
        <w:spacing w:line="578" w:lineRule="exact"/>
        <w:ind w:firstLine="0" w:firstLineChars="0"/>
        <w:rPr>
          <w:rFonts w:hint="eastAsia" w:hAnsi="仿宋" w:cs="仿宋"/>
          <w:color w:val="FF0000"/>
          <w:szCs w:val="32"/>
          <w:highlight w:val="none"/>
        </w:rPr>
      </w:pPr>
    </w:p>
    <w:p>
      <w:pPr>
        <w:keepNext w:val="0"/>
        <w:keepLines w:val="0"/>
        <w:pageBreakBefore w:val="0"/>
        <w:widowControl w:val="0"/>
        <w:kinsoku/>
        <w:overflowPunct/>
        <w:topLinePunct w:val="0"/>
        <w:autoSpaceDE/>
        <w:autoSpaceDN/>
        <w:bidi w:val="0"/>
        <w:spacing w:line="578" w:lineRule="exact"/>
        <w:ind w:firstLine="0" w:firstLineChars="0"/>
        <w:jc w:val="center"/>
        <w:rPr>
          <w:rFonts w:hint="eastAsia" w:hAnsi="仿宋" w:cs="仿宋"/>
          <w:b/>
          <w:bCs/>
          <w:color w:val="auto"/>
          <w:szCs w:val="32"/>
          <w:highlight w:val="none"/>
        </w:rPr>
      </w:pPr>
      <w:r>
        <w:rPr>
          <w:rFonts w:hint="eastAsia" w:hAnsi="仿宋" w:cs="仿宋"/>
          <w:b/>
          <w:bCs/>
          <w:color w:val="auto"/>
          <w:szCs w:val="32"/>
          <w:highlight w:val="none"/>
          <w:lang w:val="en-US" w:eastAsia="zh-CN"/>
        </w:rPr>
        <w:t>2022</w:t>
      </w:r>
      <w:r>
        <w:rPr>
          <w:rFonts w:hAnsi="仿宋" w:cs="仿宋"/>
          <w:b/>
          <w:bCs/>
          <w:color w:val="auto"/>
          <w:szCs w:val="32"/>
          <w:highlight w:val="none"/>
        </w:rPr>
        <w:t>年</w:t>
      </w:r>
      <w:r>
        <w:rPr>
          <w:rFonts w:hint="eastAsia" w:hAnsi="仿宋" w:cs="仿宋"/>
          <w:b/>
          <w:bCs/>
          <w:color w:val="auto"/>
          <w:szCs w:val="32"/>
          <w:highlight w:val="none"/>
          <w:lang w:val="en-US" w:eastAsia="zh-CN"/>
        </w:rPr>
        <w:t>6</w:t>
      </w:r>
      <w:r>
        <w:rPr>
          <w:rFonts w:hint="eastAsia" w:hAnsi="仿宋" w:cs="仿宋"/>
          <w:b/>
          <w:bCs/>
          <w:color w:val="auto"/>
          <w:szCs w:val="32"/>
          <w:highlight w:val="none"/>
        </w:rPr>
        <w:t>月</w:t>
      </w:r>
    </w:p>
    <w:p>
      <w:pPr>
        <w:keepNext w:val="0"/>
        <w:keepLines w:val="0"/>
        <w:pageBreakBefore w:val="0"/>
        <w:widowControl w:val="0"/>
        <w:kinsoku/>
        <w:overflowPunct/>
        <w:topLinePunct w:val="0"/>
        <w:autoSpaceDE/>
        <w:autoSpaceDN/>
        <w:bidi w:val="0"/>
        <w:rPr>
          <w:rFonts w:hint="eastAsia"/>
        </w:rPr>
      </w:pPr>
    </w:p>
    <w:p>
      <w:pPr>
        <w:keepNext w:val="0"/>
        <w:keepLines w:val="0"/>
        <w:pageBreakBefore w:val="0"/>
        <w:widowControl w:val="0"/>
        <w:kinsoku/>
        <w:overflowPunct/>
        <w:topLinePunct w:val="0"/>
        <w:autoSpaceDE/>
        <w:autoSpaceDN/>
        <w:bidi w:val="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b w:val="0"/>
          <w:bCs w:val="0"/>
          <w:color w:val="auto"/>
          <w:sz w:val="44"/>
          <w:szCs w:val="44"/>
          <w:highlight w:val="none"/>
        </w:rPr>
      </w:pPr>
      <w:bookmarkStart w:id="0" w:name="_Toc6182"/>
      <w:bookmarkStart w:id="1" w:name="_Toc14504"/>
      <w:bookmarkStart w:id="2" w:name="_Toc25098"/>
      <w:bookmarkStart w:id="3" w:name="_Toc29481"/>
      <w:bookmarkStart w:id="4" w:name="_Toc25791"/>
      <w:bookmarkStart w:id="5" w:name="_Toc5332"/>
      <w:bookmarkStart w:id="6" w:name="_Toc15963"/>
      <w:bookmarkStart w:id="7" w:name="_Toc20654"/>
      <w:bookmarkStart w:id="8" w:name="_Toc30998"/>
      <w:bookmarkStart w:id="9" w:name="_Toc13312"/>
      <w:bookmarkStart w:id="10" w:name="_Toc25778"/>
      <w:bookmarkStart w:id="11" w:name="_Toc4253"/>
      <w:bookmarkStart w:id="12" w:name="_Toc29293"/>
      <w:bookmarkStart w:id="13" w:name="_Toc29502"/>
      <w:bookmarkStart w:id="14" w:name="_Toc5750"/>
      <w:bookmarkStart w:id="15" w:name="_Toc18742"/>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b w:val="0"/>
          <w:bCs w:val="0"/>
          <w:color w:val="auto"/>
          <w:sz w:val="44"/>
          <w:szCs w:val="44"/>
          <w:highlight w:val="none"/>
        </w:rPr>
      </w:pPr>
      <w:r>
        <w:rPr>
          <w:rFonts w:hint="eastAsia" w:ascii="黑体" w:hAnsi="黑体" w:eastAsia="黑体"/>
          <w:b w:val="0"/>
          <w:bCs w:val="0"/>
          <w:color w:val="auto"/>
          <w:sz w:val="44"/>
          <w:szCs w:val="44"/>
          <w:highlight w:val="none"/>
        </w:rPr>
        <w:fldChar w:fldCharType="begin"/>
      </w:r>
      <w:r>
        <w:rPr>
          <w:rFonts w:hint="eastAsia" w:ascii="黑体" w:hAnsi="黑体" w:eastAsia="黑体"/>
          <w:b w:val="0"/>
          <w:bCs w:val="0"/>
          <w:color w:val="auto"/>
          <w:sz w:val="44"/>
          <w:szCs w:val="44"/>
          <w:highlight w:val="none"/>
        </w:rPr>
        <w:instrText xml:space="preserve"> HYPERLINK \l _Toc29392 </w:instrText>
      </w:r>
      <w:r>
        <w:rPr>
          <w:rFonts w:hint="eastAsia" w:ascii="黑体" w:hAnsi="黑体" w:eastAsia="黑体"/>
          <w:b w:val="0"/>
          <w:bCs w:val="0"/>
          <w:color w:val="auto"/>
          <w:sz w:val="44"/>
          <w:szCs w:val="44"/>
          <w:highlight w:val="none"/>
        </w:rPr>
        <w:fldChar w:fldCharType="separate"/>
      </w:r>
      <w:r>
        <w:rPr>
          <w:rFonts w:hint="eastAsia" w:ascii="黑体" w:hAnsi="黑体" w:eastAsia="黑体"/>
          <w:b w:val="0"/>
          <w:bCs w:val="0"/>
          <w:color w:val="auto"/>
          <w:sz w:val="44"/>
          <w:szCs w:val="44"/>
          <w:highlight w:val="none"/>
        </w:rPr>
        <w:t>摘  要</w:t>
      </w:r>
      <w:r>
        <w:rPr>
          <w:rFonts w:hint="eastAsia" w:ascii="黑体" w:hAnsi="黑体" w:eastAsia="黑体"/>
          <w:b w:val="0"/>
          <w:bCs w:val="0"/>
          <w:color w:val="auto"/>
          <w:sz w:val="44"/>
          <w:szCs w:val="44"/>
          <w:highlight w:val="none"/>
        </w:rPr>
        <w:fldChar w:fldCharType="end"/>
      </w:r>
      <w:bookmarkEnd w:id="0"/>
      <w:bookmarkEnd w:id="1"/>
      <w:bookmarkEnd w:id="2"/>
      <w:bookmarkEnd w:id="3"/>
      <w:bookmarkEnd w:id="4"/>
      <w:bookmarkEnd w:id="5"/>
      <w:bookmarkEnd w:id="6"/>
      <w:bookmarkEnd w:id="7"/>
      <w:bookmarkEnd w:id="8"/>
      <w:bookmarkEnd w:id="9"/>
    </w:p>
    <w:bookmarkEnd w:id="1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color w:val="auto"/>
          <w:highlight w:val="none"/>
        </w:rPr>
      </w:pPr>
      <w:r>
        <w:rPr>
          <w:rFonts w:hint="eastAsia"/>
          <w:color w:val="auto"/>
          <w:highlight w:val="none"/>
        </w:rPr>
        <w:t>为进一步</w:t>
      </w:r>
      <w:r>
        <w:rPr>
          <w:rFonts w:hint="eastAsia"/>
          <w:color w:val="auto"/>
          <w:highlight w:val="none"/>
          <w:lang w:eastAsia="zh-CN"/>
        </w:rPr>
        <w:t>规范中共甘肃省委机构编制委员会办公室</w:t>
      </w:r>
      <w:r>
        <w:rPr>
          <w:rFonts w:hint="eastAsia"/>
          <w:color w:val="auto"/>
          <w:highlight w:val="none"/>
        </w:rPr>
        <w:t>202</w:t>
      </w:r>
      <w:r>
        <w:rPr>
          <w:rFonts w:hint="eastAsia"/>
          <w:color w:val="auto"/>
          <w:highlight w:val="none"/>
          <w:lang w:val="en-US" w:eastAsia="zh-CN"/>
        </w:rPr>
        <w:t>1</w:t>
      </w:r>
      <w:r>
        <w:rPr>
          <w:rFonts w:hint="eastAsia"/>
          <w:color w:val="auto"/>
          <w:highlight w:val="none"/>
        </w:rPr>
        <w:t>年</w:t>
      </w:r>
      <w:r>
        <w:rPr>
          <w:rFonts w:hint="eastAsia"/>
          <w:color w:val="auto"/>
          <w:highlight w:val="none"/>
          <w:lang w:eastAsia="zh-CN"/>
        </w:rPr>
        <w:t>业务费</w:t>
      </w:r>
      <w:r>
        <w:rPr>
          <w:rFonts w:hint="eastAsia"/>
          <w:color w:val="auto"/>
          <w:highlight w:val="none"/>
        </w:rPr>
        <w:t>项目的实施，提高财政资金使用绩效和管理水平，最大限度地发挥资金的综合效益</w:t>
      </w:r>
      <w:r>
        <w:rPr>
          <w:rFonts w:hint="eastAsia"/>
          <w:color w:val="auto"/>
          <w:highlight w:val="none"/>
          <w:lang w:eastAsia="zh-CN"/>
        </w:rPr>
        <w:t>，根据省委、省政府《关于全面实施预算绩效管理的实施意见》（甘发〔2018〕32号）及《甘肃省财政厅关于开展202</w:t>
      </w:r>
      <w:r>
        <w:rPr>
          <w:rFonts w:hint="eastAsia"/>
          <w:color w:val="auto"/>
          <w:highlight w:val="none"/>
          <w:lang w:val="en-US" w:eastAsia="zh-CN"/>
        </w:rPr>
        <w:t>1</w:t>
      </w:r>
      <w:r>
        <w:rPr>
          <w:rFonts w:hint="eastAsia"/>
          <w:color w:val="auto"/>
          <w:highlight w:val="none"/>
          <w:lang w:eastAsia="zh-CN"/>
        </w:rPr>
        <w:t>年度省级预算执行情况部门和财政重点绩效评价工作的通知》（甘财绩〔202</w:t>
      </w:r>
      <w:r>
        <w:rPr>
          <w:rFonts w:hint="eastAsia"/>
          <w:color w:val="auto"/>
          <w:highlight w:val="none"/>
          <w:lang w:val="en-US" w:eastAsia="zh-CN"/>
        </w:rPr>
        <w:t>2</w:t>
      </w:r>
      <w:r>
        <w:rPr>
          <w:rFonts w:hint="eastAsia"/>
          <w:color w:val="auto"/>
          <w:highlight w:val="none"/>
          <w:lang w:eastAsia="zh-CN"/>
        </w:rPr>
        <w:t>〕4号）等文件要求，中共甘肃省委机构编制委员会办公室对本单位</w:t>
      </w:r>
      <w:r>
        <w:rPr>
          <w:rFonts w:hint="eastAsia"/>
          <w:color w:val="auto"/>
          <w:highlight w:val="none"/>
        </w:rPr>
        <w:t>202</w:t>
      </w:r>
      <w:r>
        <w:rPr>
          <w:rFonts w:hint="eastAsia"/>
          <w:color w:val="auto"/>
          <w:highlight w:val="none"/>
          <w:lang w:val="en-US" w:eastAsia="zh-CN"/>
        </w:rPr>
        <w:t>1</w:t>
      </w:r>
      <w:r>
        <w:rPr>
          <w:rFonts w:hint="eastAsia"/>
          <w:color w:val="auto"/>
          <w:highlight w:val="none"/>
        </w:rPr>
        <w:t>年</w:t>
      </w:r>
      <w:r>
        <w:rPr>
          <w:rFonts w:hint="eastAsia"/>
          <w:color w:val="auto"/>
          <w:highlight w:val="none"/>
          <w:lang w:eastAsia="zh-CN"/>
        </w:rPr>
        <w:t>业务费</w:t>
      </w:r>
      <w:r>
        <w:rPr>
          <w:rFonts w:hint="eastAsia"/>
          <w:color w:val="auto"/>
          <w:highlight w:val="none"/>
        </w:rPr>
        <w:t>项目开展</w:t>
      </w:r>
      <w:r>
        <w:rPr>
          <w:rFonts w:hint="eastAsia"/>
          <w:color w:val="auto"/>
          <w:highlight w:val="none"/>
          <w:lang w:eastAsia="zh-CN"/>
        </w:rPr>
        <w:t>了绩效评价</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auto"/>
          <w:sz w:val="32"/>
          <w:szCs w:val="32"/>
          <w:highlight w:val="none"/>
        </w:rPr>
      </w:pPr>
      <w:r>
        <w:rPr>
          <w:rFonts w:hint="eastAsia" w:cs="仿宋_GB2312"/>
          <w:color w:val="auto"/>
          <w:spacing w:val="11"/>
          <w:sz w:val="32"/>
          <w:szCs w:val="32"/>
          <w:highlight w:val="none"/>
          <w:lang w:val="en-US" w:eastAsia="zh-CN"/>
        </w:rPr>
        <w:t>项目</w:t>
      </w:r>
      <w:r>
        <w:rPr>
          <w:rFonts w:hint="eastAsia" w:ascii="仿宋_GB2312" w:hAnsi="仿宋_GB2312" w:eastAsia="仿宋_GB2312" w:cs="仿宋_GB2312"/>
          <w:color w:val="auto"/>
          <w:highlight w:val="none"/>
        </w:rPr>
        <w:t>绩效评价得分结果</w:t>
      </w:r>
      <w:r>
        <w:rPr>
          <w:rFonts w:hint="eastAsia" w:ascii="仿宋_GB2312" w:hAnsi="仿宋_GB2312" w:eastAsia="仿宋_GB2312" w:cs="仿宋_GB2312"/>
          <w:color w:val="auto"/>
          <w:highlight w:val="none"/>
          <w:lang w:eastAsia="zh-CN"/>
        </w:rPr>
        <w:t>主要</w:t>
      </w:r>
      <w:r>
        <w:rPr>
          <w:rFonts w:hint="eastAsia" w:ascii="仿宋_GB2312" w:hAnsi="仿宋_GB2312" w:eastAsia="仿宋_GB2312" w:cs="仿宋_GB2312"/>
          <w:color w:val="auto"/>
          <w:highlight w:val="none"/>
        </w:rPr>
        <w:t>依据绩效评价指标体系，</w:t>
      </w:r>
      <w:r>
        <w:rPr>
          <w:rFonts w:hint="eastAsia" w:cs="仿宋_GB2312"/>
          <w:color w:val="auto"/>
          <w:highlight w:val="none"/>
          <w:lang w:eastAsia="zh-CN"/>
        </w:rPr>
        <w:t>绩效评价</w:t>
      </w:r>
      <w:r>
        <w:rPr>
          <w:rFonts w:hint="eastAsia" w:ascii="仿宋_GB2312" w:hAnsi="仿宋_GB2312" w:eastAsia="仿宋_GB2312" w:cs="仿宋_GB2312"/>
          <w:color w:val="auto"/>
          <w:highlight w:val="none"/>
        </w:rPr>
        <w:t>人员基于</w:t>
      </w:r>
      <w:r>
        <w:rPr>
          <w:rFonts w:hint="eastAsia" w:cs="仿宋_GB2312"/>
          <w:color w:val="auto"/>
          <w:highlight w:val="none"/>
          <w:lang w:val="en-US" w:eastAsia="zh-CN"/>
        </w:rPr>
        <w:t>项目</w:t>
      </w:r>
      <w:r>
        <w:rPr>
          <w:rFonts w:hint="eastAsia" w:ascii="仿宋_GB2312" w:hAnsi="仿宋_GB2312" w:eastAsia="仿宋_GB2312" w:cs="仿宋_GB2312"/>
          <w:color w:val="auto"/>
          <w:highlight w:val="none"/>
          <w:lang w:val="en-US" w:eastAsia="zh-CN"/>
        </w:rPr>
        <w:t>实施</w:t>
      </w:r>
      <w:r>
        <w:rPr>
          <w:rFonts w:hint="eastAsia" w:ascii="仿宋_GB2312" w:hAnsi="仿宋_GB2312" w:eastAsia="仿宋_GB2312" w:cs="仿宋_GB2312"/>
          <w:color w:val="auto"/>
          <w:highlight w:val="none"/>
        </w:rPr>
        <w:t>的佐证材料，</w:t>
      </w:r>
      <w:r>
        <w:rPr>
          <w:rFonts w:hint="eastAsia" w:ascii="仿宋_GB2312" w:hAnsi="仿宋_GB2312" w:eastAsia="仿宋_GB2312" w:cs="仿宋_GB2312"/>
          <w:color w:val="auto"/>
          <w:highlight w:val="none"/>
          <w:lang w:val="en-US" w:eastAsia="zh-CN"/>
        </w:rPr>
        <w:t>严格按照评分标准进行了打分，项目综合评价得分为96.7分，根</w:t>
      </w:r>
      <w:r>
        <w:rPr>
          <w:rFonts w:hint="eastAsia" w:ascii="仿宋_GB2312" w:hAnsi="仿宋_GB2312" w:eastAsia="仿宋_GB2312" w:cs="仿宋_GB2312"/>
          <w:color w:val="auto"/>
          <w:sz w:val="32"/>
          <w:szCs w:val="32"/>
          <w:highlight w:val="none"/>
          <w:lang w:val="en-US" w:eastAsia="zh-CN"/>
        </w:rPr>
        <w:t>据</w:t>
      </w:r>
      <w:r>
        <w:rPr>
          <w:rFonts w:hint="eastAsia" w:ascii="仿宋_GB2312" w:hAnsi="仿宋_GB2312" w:eastAsia="仿宋_GB2312" w:cs="仿宋_GB2312"/>
          <w:color w:val="auto"/>
          <w:sz w:val="32"/>
          <w:szCs w:val="32"/>
          <w:highlight w:val="none"/>
        </w:rPr>
        <w:t>《财政部关于印发&lt;项目支出绩效评价管理办法&gt;的通知》（财预〔2020〕10号）</w:t>
      </w:r>
      <w:r>
        <w:rPr>
          <w:rFonts w:hint="eastAsia" w:ascii="仿宋_GB2312" w:hAnsi="仿宋_GB2312" w:eastAsia="仿宋_GB2312" w:cs="仿宋_GB2312"/>
          <w:color w:val="auto"/>
          <w:sz w:val="32"/>
          <w:szCs w:val="32"/>
          <w:highlight w:val="none"/>
          <w:lang w:val="en-US" w:eastAsia="zh-CN"/>
        </w:rPr>
        <w:t>规定，绩效评价结果等级为：</w:t>
      </w:r>
      <w:r>
        <w:rPr>
          <w:rFonts w:hint="eastAsia" w:cs="仿宋_GB2312"/>
          <w:b/>
          <w:bCs/>
          <w:color w:val="auto"/>
          <w:sz w:val="32"/>
          <w:szCs w:val="32"/>
          <w:highlight w:val="none"/>
          <w:lang w:val="en-US" w:eastAsia="zh-CN"/>
        </w:rPr>
        <w:t>优</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s="仿宋_GB2312"/>
          <w:color w:val="auto"/>
          <w:highlight w:val="none"/>
          <w:lang w:val="en-US" w:eastAsia="zh-CN"/>
        </w:rPr>
      </w:pPr>
      <w:r>
        <w:rPr>
          <w:rFonts w:hint="eastAsia" w:ascii="仿宋_GB2312" w:hAnsi="仿宋_GB2312" w:eastAsia="仿宋_GB2312" w:cs="仿宋_GB2312"/>
          <w:b w:val="0"/>
          <w:bCs w:val="0"/>
          <w:color w:val="auto"/>
          <w:highlight w:val="none"/>
          <w:lang w:val="en-US" w:eastAsia="zh-CN"/>
        </w:rPr>
        <w:t>总体认为：</w:t>
      </w:r>
      <w:r>
        <w:rPr>
          <w:rFonts w:hint="eastAsia" w:cs="仿宋_GB2312"/>
          <w:b w:val="0"/>
          <w:bCs w:val="0"/>
          <w:color w:val="auto"/>
          <w:highlight w:val="none"/>
          <w:lang w:val="en-US" w:eastAsia="zh-CN"/>
        </w:rPr>
        <w:t>中共</w:t>
      </w:r>
      <w:r>
        <w:rPr>
          <w:rFonts w:hint="eastAsia" w:cs="仿宋_GB2312"/>
          <w:color w:val="auto"/>
          <w:highlight w:val="none"/>
          <w:lang w:val="en-US" w:eastAsia="zh-CN"/>
        </w:rPr>
        <w:t>甘肃省委机构编制委员会办公室2021年业务费项目申报依据充分，申报程序规范，绩效目标依据充分，绩效指标清晰、可衡量，项目管理制度和财务管理制度健全且管理规范，政府采购合规，资金使用合规，不存在截留、挤占、挪用、虚列支出等情况，会计信息真实完整，项目产出和效益达到预期目标。但也存在预算编制的科学性和精细化水平有待提高，预算额度分解无明确标准，预算资金分配无相关测算依据，项目部分预算资金未支出，未充分发挥资金使用效益等问题。</w:t>
      </w:r>
    </w:p>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rPr>
          <w:rFonts w:hint="eastAsia"/>
          <w:lang w:eastAsia="zh-CN"/>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华文中宋" w:eastAsia="方正小标宋简体" w:cs="华文中宋"/>
          <w:b w:val="0"/>
          <w:bCs/>
          <w:color w:val="auto"/>
          <w:sz w:val="44"/>
          <w:szCs w:val="44"/>
          <w:highlight w:val="none"/>
          <w:lang w:eastAsia="zh-CN"/>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华文中宋" w:eastAsia="方正小标宋简体" w:cs="华文中宋"/>
          <w:b w:val="0"/>
          <w:bCs/>
          <w:color w:val="auto"/>
          <w:sz w:val="44"/>
          <w:szCs w:val="44"/>
          <w:highlight w:val="none"/>
          <w:lang w:eastAsia="zh-CN"/>
        </w:rPr>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华文中宋" w:eastAsia="方正小标宋简体" w:cs="华文中宋"/>
          <w:b w:val="0"/>
          <w:bCs/>
          <w:color w:val="auto"/>
          <w:sz w:val="44"/>
          <w:szCs w:val="44"/>
          <w:highlight w:val="none"/>
          <w:lang w:eastAsia="zh-CN"/>
        </w:rPr>
      </w:pPr>
      <w:r>
        <w:rPr>
          <w:rFonts w:hint="eastAsia" w:ascii="方正小标宋简体" w:hAnsi="华文中宋" w:eastAsia="方正小标宋简体" w:cs="华文中宋"/>
          <w:b w:val="0"/>
          <w:bCs/>
          <w:color w:val="auto"/>
          <w:sz w:val="44"/>
          <w:szCs w:val="44"/>
          <w:highlight w:val="none"/>
          <w:lang w:eastAsia="zh-CN"/>
        </w:rPr>
        <w:t>目</w:t>
      </w:r>
      <w:r>
        <w:rPr>
          <w:rFonts w:hint="eastAsia" w:ascii="方正小标宋简体" w:hAnsi="华文中宋" w:eastAsia="方正小标宋简体" w:cs="华文中宋"/>
          <w:b w:val="0"/>
          <w:bCs/>
          <w:color w:val="auto"/>
          <w:sz w:val="44"/>
          <w:szCs w:val="44"/>
          <w:highlight w:val="none"/>
          <w:lang w:val="en-US" w:eastAsia="zh-CN"/>
        </w:rPr>
        <w:t xml:space="preserve">  </w:t>
      </w:r>
      <w:r>
        <w:rPr>
          <w:rFonts w:hint="eastAsia" w:ascii="方正小标宋简体" w:hAnsi="华文中宋" w:eastAsia="方正小标宋简体" w:cs="华文中宋"/>
          <w:b w:val="0"/>
          <w:bCs/>
          <w:color w:val="auto"/>
          <w:sz w:val="44"/>
          <w:szCs w:val="44"/>
          <w:highlight w:val="none"/>
          <w:lang w:eastAsia="zh-CN"/>
        </w:rPr>
        <w:t>录</w:t>
      </w:r>
      <w:r>
        <w:rPr>
          <w:rFonts w:hint="eastAsia" w:ascii="方正小标宋简体" w:hAnsi="华文中宋" w:eastAsia="方正小标宋简体" w:cs="华文中宋"/>
          <w:b w:val="0"/>
          <w:bCs/>
          <w:color w:val="auto"/>
          <w:sz w:val="44"/>
          <w:szCs w:val="44"/>
          <w:highlight w:val="none"/>
          <w:lang w:eastAsia="zh-CN"/>
        </w:rPr>
        <w:fldChar w:fldCharType="begin"/>
      </w:r>
      <w:r>
        <w:rPr>
          <w:rFonts w:hint="eastAsia" w:ascii="方正小标宋简体" w:hAnsi="华文中宋" w:eastAsia="方正小标宋简体" w:cs="华文中宋"/>
          <w:b w:val="0"/>
          <w:bCs/>
          <w:color w:val="auto"/>
          <w:sz w:val="44"/>
          <w:szCs w:val="44"/>
          <w:highlight w:val="none"/>
          <w:lang w:eastAsia="zh-CN"/>
        </w:rPr>
        <w:instrText xml:space="preserve">TOC \o "1-3" \h \u </w:instrText>
      </w:r>
      <w:r>
        <w:rPr>
          <w:rFonts w:hint="eastAsia" w:ascii="方正小标宋简体" w:hAnsi="华文中宋" w:eastAsia="方正小标宋简体" w:cs="华文中宋"/>
          <w:b w:val="0"/>
          <w:bCs/>
          <w:color w:val="auto"/>
          <w:sz w:val="44"/>
          <w:szCs w:val="44"/>
          <w:highlight w:val="none"/>
          <w:lang w:eastAsia="zh-CN"/>
        </w:rPr>
        <w:fldChar w:fldCharType="separate"/>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_Toc6115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一、项目基本情况</w:t>
      </w:r>
      <w:r>
        <w:tab/>
      </w:r>
      <w:r>
        <w:fldChar w:fldCharType="begin"/>
      </w:r>
      <w:r>
        <w:instrText xml:space="preserve"> PAGEREF _Toc6115 \h </w:instrText>
      </w:r>
      <w:r>
        <w:fldChar w:fldCharType="separate"/>
      </w:r>
      <w:r>
        <w:t>- 1 -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_Toc21223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szCs w:val="32"/>
          <w:highlight w:val="none"/>
          <w:lang w:eastAsia="zh-CN"/>
        </w:rPr>
        <w:t>（一）项目立项背景及实施目的</w:t>
      </w:r>
      <w:r>
        <w:tab/>
      </w:r>
      <w:r>
        <w:fldChar w:fldCharType="begin"/>
      </w:r>
      <w:r>
        <w:instrText xml:space="preserve"> PAGEREF _Toc21223 \h </w:instrText>
      </w:r>
      <w:r>
        <w:fldChar w:fldCharType="separate"/>
      </w:r>
      <w:r>
        <w:t>- 1 -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_Toc4573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szCs w:val="32"/>
          <w:highlight w:val="none"/>
          <w:lang w:eastAsia="zh-CN"/>
        </w:rPr>
        <w:t>（二）项目预算安排及使用情况</w:t>
      </w:r>
      <w:r>
        <w:tab/>
      </w:r>
      <w:r>
        <w:fldChar w:fldCharType="begin"/>
      </w:r>
      <w:r>
        <w:instrText xml:space="preserve"> PAGEREF _Toc4573 \h </w:instrText>
      </w:r>
      <w:r>
        <w:fldChar w:fldCharType="separate"/>
      </w:r>
      <w:r>
        <w:t>- 2 -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_Toc10439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eastAsia="zh-CN"/>
        </w:rPr>
        <w:t>（三）项目计划内容及实施情况</w:t>
      </w:r>
      <w:r>
        <w:tab/>
      </w:r>
      <w:r>
        <w:fldChar w:fldCharType="begin"/>
      </w:r>
      <w:r>
        <w:instrText xml:space="preserve"> PAGEREF _Toc10439 \h </w:instrText>
      </w:r>
      <w:r>
        <w:fldChar w:fldCharType="separate"/>
      </w:r>
      <w:r>
        <w:t>- 3 -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_Toc11016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二、项目绩效目标</w:t>
      </w:r>
      <w:r>
        <w:tab/>
      </w:r>
      <w:r>
        <w:fldChar w:fldCharType="begin"/>
      </w:r>
      <w:r>
        <w:instrText xml:space="preserve"> PAGEREF _Toc11016 \h </w:instrText>
      </w:r>
      <w:r>
        <w:fldChar w:fldCharType="separate"/>
      </w:r>
      <w:r>
        <w:t>- 3 -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_Toc29624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kern w:val="2"/>
          <w:szCs w:val="24"/>
          <w:highlight w:val="none"/>
          <w:lang w:val="en-US" w:eastAsia="zh-CN" w:bidi="ar-SA"/>
        </w:rPr>
        <w:t>（一）项目总目标</w:t>
      </w:r>
      <w:r>
        <w:tab/>
      </w:r>
      <w:r>
        <w:fldChar w:fldCharType="begin"/>
      </w:r>
      <w:r>
        <w:instrText xml:space="preserve"> PAGEREF _Toc29624 \h </w:instrText>
      </w:r>
      <w:r>
        <w:fldChar w:fldCharType="separate"/>
      </w:r>
      <w:r>
        <w:t>- 3 -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_Toc32250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kern w:val="2"/>
          <w:szCs w:val="24"/>
          <w:highlight w:val="none"/>
          <w:lang w:val="en-US" w:eastAsia="zh-CN" w:bidi="ar-SA"/>
        </w:rPr>
        <w:t>（二）2021年度绩效目标</w:t>
      </w:r>
      <w:r>
        <w:tab/>
      </w:r>
      <w:r>
        <w:fldChar w:fldCharType="begin"/>
      </w:r>
      <w:r>
        <w:instrText xml:space="preserve"> PAGEREF _Toc32250 \h </w:instrText>
      </w:r>
      <w:r>
        <w:fldChar w:fldCharType="separate"/>
      </w:r>
      <w:r>
        <w:t>- 4 -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_Toc31282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三、评价基本情况</w:t>
      </w:r>
      <w:r>
        <w:tab/>
      </w:r>
      <w:r>
        <w:fldChar w:fldCharType="begin"/>
      </w:r>
      <w:r>
        <w:instrText xml:space="preserve"> PAGEREF _Toc31282 \h </w:instrText>
      </w:r>
      <w:r>
        <w:fldChar w:fldCharType="separate"/>
      </w:r>
      <w:r>
        <w:t>- 5 -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_Toc7363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val="en-US" w:eastAsia="zh-CN"/>
        </w:rPr>
        <w:t>（一）评价目的</w:t>
      </w:r>
      <w:r>
        <w:tab/>
      </w:r>
      <w:r>
        <w:fldChar w:fldCharType="begin"/>
      </w:r>
      <w:r>
        <w:instrText xml:space="preserve"> PAGEREF _Toc7363 \h </w:instrText>
      </w:r>
      <w:r>
        <w:fldChar w:fldCharType="separate"/>
      </w:r>
      <w:r>
        <w:t>- 5 -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_Toc30417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val="en-US" w:eastAsia="zh-CN"/>
        </w:rPr>
        <w:t>（二）评价对象和范围</w:t>
      </w:r>
      <w:r>
        <w:tab/>
      </w:r>
      <w:r>
        <w:fldChar w:fldCharType="begin"/>
      </w:r>
      <w:r>
        <w:instrText xml:space="preserve"> PAGEREF _Toc30417 \h </w:instrText>
      </w:r>
      <w:r>
        <w:fldChar w:fldCharType="separate"/>
      </w:r>
      <w:r>
        <w:t>- 5 -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_Toc19738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rPr>
        <w:t>（</w:t>
      </w:r>
      <w:r>
        <w:rPr>
          <w:rFonts w:hint="eastAsia" w:ascii="楷体_GB2312" w:hAnsi="楷体_GB2312" w:eastAsia="楷体_GB2312" w:cs="楷体_GB2312"/>
          <w:bCs/>
          <w:highlight w:val="none"/>
          <w:lang w:eastAsia="zh-CN"/>
        </w:rPr>
        <w:t>三</w:t>
      </w:r>
      <w:r>
        <w:rPr>
          <w:rFonts w:hint="eastAsia" w:ascii="楷体_GB2312" w:hAnsi="楷体_GB2312" w:eastAsia="楷体_GB2312" w:cs="楷体_GB2312"/>
          <w:bCs/>
          <w:highlight w:val="none"/>
        </w:rPr>
        <w:t>）评价</w:t>
      </w:r>
      <w:r>
        <w:rPr>
          <w:rFonts w:hint="eastAsia" w:ascii="楷体_GB2312" w:hAnsi="楷体_GB2312" w:eastAsia="楷体_GB2312" w:cs="楷体_GB2312"/>
          <w:bCs/>
          <w:highlight w:val="none"/>
          <w:lang w:eastAsia="zh-CN"/>
        </w:rPr>
        <w:t>依据</w:t>
      </w:r>
      <w:r>
        <w:tab/>
      </w:r>
      <w:r>
        <w:fldChar w:fldCharType="begin"/>
      </w:r>
      <w:r>
        <w:instrText xml:space="preserve"> PAGEREF _Toc19738 \h </w:instrText>
      </w:r>
      <w:r>
        <w:fldChar w:fldCharType="separate"/>
      </w:r>
      <w:r>
        <w:t>- 6 -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_Toc24530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val="en-US" w:eastAsia="zh-CN"/>
        </w:rPr>
        <w:t>（四）评价原则</w:t>
      </w:r>
      <w:r>
        <w:tab/>
      </w:r>
      <w:r>
        <w:fldChar w:fldCharType="begin"/>
      </w:r>
      <w:r>
        <w:instrText xml:space="preserve"> PAGEREF _Toc24530 \h </w:instrText>
      </w:r>
      <w:r>
        <w:fldChar w:fldCharType="separate"/>
      </w:r>
      <w:r>
        <w:t>- 6 -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_Toc24094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val="en-US" w:eastAsia="zh-CN"/>
        </w:rPr>
        <w:t>（五）评价方法</w:t>
      </w:r>
      <w:r>
        <w:tab/>
      </w:r>
      <w:r>
        <w:fldChar w:fldCharType="begin"/>
      </w:r>
      <w:r>
        <w:instrText xml:space="preserve"> PAGEREF _Toc24094 \h </w:instrText>
      </w:r>
      <w:r>
        <w:fldChar w:fldCharType="separate"/>
      </w:r>
      <w:r>
        <w:t>- 7 -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_Toc6735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eastAsia="zh-CN"/>
        </w:rPr>
        <w:t>（六）绩效</w:t>
      </w:r>
      <w:r>
        <w:rPr>
          <w:rFonts w:hint="eastAsia" w:ascii="楷体_GB2312" w:hAnsi="楷体_GB2312" w:eastAsia="楷体_GB2312" w:cs="楷体_GB2312"/>
          <w:bCs/>
          <w:highlight w:val="none"/>
        </w:rPr>
        <w:t>评价指标体系</w:t>
      </w:r>
      <w:r>
        <w:tab/>
      </w:r>
      <w:r>
        <w:fldChar w:fldCharType="begin"/>
      </w:r>
      <w:r>
        <w:instrText xml:space="preserve"> PAGEREF _Toc6735 \h </w:instrText>
      </w:r>
      <w:r>
        <w:fldChar w:fldCharType="separate"/>
      </w:r>
      <w:r>
        <w:t>- 8 -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_Toc28976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eastAsia="zh-CN"/>
        </w:rPr>
        <w:t>（七）绩效评价工作过程</w:t>
      </w:r>
      <w:r>
        <w:tab/>
      </w:r>
      <w:r>
        <w:fldChar w:fldCharType="begin"/>
      </w:r>
      <w:r>
        <w:instrText xml:space="preserve"> PAGEREF _Toc28976 \h </w:instrText>
      </w:r>
      <w:r>
        <w:fldChar w:fldCharType="separate"/>
      </w:r>
      <w:r>
        <w:t>- 9 -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_Toc30755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四、评价结论及绩效分析</w:t>
      </w:r>
      <w:r>
        <w:tab/>
      </w:r>
      <w:r>
        <w:fldChar w:fldCharType="begin"/>
      </w:r>
      <w:r>
        <w:instrText xml:space="preserve"> PAGEREF _Toc30755 \h </w:instrText>
      </w:r>
      <w:r>
        <w:fldChar w:fldCharType="separate"/>
      </w:r>
      <w:r>
        <w:t>- 10 -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_Toc30386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eastAsia="zh-CN"/>
        </w:rPr>
        <w:t>（一）评价评分</w:t>
      </w:r>
      <w:r>
        <w:tab/>
      </w:r>
      <w:r>
        <w:fldChar w:fldCharType="begin"/>
      </w:r>
      <w:r>
        <w:instrText xml:space="preserve"> PAGEREF _Toc30386 \h </w:instrText>
      </w:r>
      <w:r>
        <w:fldChar w:fldCharType="separate"/>
      </w:r>
      <w:r>
        <w:t>- 10 -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_Toc24123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eastAsia="zh-CN"/>
        </w:rPr>
        <w:t>（二）综合评价情况及评价结论</w:t>
      </w:r>
      <w:r>
        <w:tab/>
      </w:r>
      <w:r>
        <w:fldChar w:fldCharType="begin"/>
      </w:r>
      <w:r>
        <w:instrText xml:space="preserve"> PAGEREF _Toc24123 \h </w:instrText>
      </w:r>
      <w:r>
        <w:fldChar w:fldCharType="separate"/>
      </w:r>
      <w:r>
        <w:t>- 12 -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_Toc26030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五、绩效评价指标分析</w:t>
      </w:r>
      <w:r>
        <w:tab/>
      </w:r>
      <w:r>
        <w:fldChar w:fldCharType="begin"/>
      </w:r>
      <w:r>
        <w:instrText xml:space="preserve"> PAGEREF _Toc26030 \h </w:instrText>
      </w:r>
      <w:r>
        <w:fldChar w:fldCharType="separate"/>
      </w:r>
      <w:r>
        <w:t>- 14 -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_Toc7709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eastAsia="zh-CN"/>
        </w:rPr>
        <w:t>（一）项目决策情况</w:t>
      </w:r>
      <w:r>
        <w:tab/>
      </w:r>
      <w:r>
        <w:fldChar w:fldCharType="begin"/>
      </w:r>
      <w:r>
        <w:instrText xml:space="preserve"> PAGEREF _Toc7709 \h </w:instrText>
      </w:r>
      <w:r>
        <w:fldChar w:fldCharType="separate"/>
      </w:r>
      <w:r>
        <w:t>- 14 -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_Toc9444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val="en-US" w:eastAsia="zh-CN"/>
        </w:rPr>
        <w:t>（二）项目过程情况</w:t>
      </w:r>
      <w:r>
        <w:tab/>
      </w:r>
      <w:r>
        <w:fldChar w:fldCharType="begin"/>
      </w:r>
      <w:r>
        <w:instrText xml:space="preserve"> PAGEREF _Toc9444 \h </w:instrText>
      </w:r>
      <w:r>
        <w:fldChar w:fldCharType="separate"/>
      </w:r>
      <w:r>
        <w:t>- 18 -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_Toc7230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val="en-US" w:eastAsia="zh-CN"/>
        </w:rPr>
        <w:t>（三）项目产出情况</w:t>
      </w:r>
      <w:r>
        <w:tab/>
      </w:r>
      <w:r>
        <w:fldChar w:fldCharType="begin"/>
      </w:r>
      <w:r>
        <w:instrText xml:space="preserve"> PAGEREF _Toc7230 \h </w:instrText>
      </w:r>
      <w:r>
        <w:fldChar w:fldCharType="separate"/>
      </w:r>
      <w:r>
        <w:t>- 22 -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_Toc29458 </w:instrText>
      </w:r>
      <w:r>
        <w:rPr>
          <w:rFonts w:hint="eastAsia" w:ascii="方正小标宋简体" w:hAnsi="华文中宋" w:eastAsia="方正小标宋简体" w:cs="华文中宋"/>
          <w:bCs/>
          <w:szCs w:val="44"/>
          <w:highlight w:val="none"/>
          <w:lang w:eastAsia="zh-CN"/>
        </w:rPr>
        <w:fldChar w:fldCharType="separate"/>
      </w:r>
      <w:r>
        <w:rPr>
          <w:rFonts w:hint="eastAsia" w:ascii="楷体_GB2312" w:hAnsi="楷体_GB2312" w:eastAsia="楷体_GB2312" w:cs="楷体_GB2312"/>
          <w:bCs/>
          <w:highlight w:val="none"/>
          <w:lang w:val="en-US" w:eastAsia="zh-CN"/>
        </w:rPr>
        <w:t>（四）项目效益情况</w:t>
      </w:r>
      <w:r>
        <w:tab/>
      </w:r>
      <w:r>
        <w:fldChar w:fldCharType="begin"/>
      </w:r>
      <w:r>
        <w:instrText xml:space="preserve"> PAGEREF _Toc29458 \h </w:instrText>
      </w:r>
      <w:r>
        <w:fldChar w:fldCharType="separate"/>
      </w:r>
      <w:r>
        <w:t>- 30 -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_Toc31772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六、项目主要经验及做法</w:t>
      </w:r>
      <w:r>
        <w:tab/>
      </w:r>
      <w:r>
        <w:fldChar w:fldCharType="begin"/>
      </w:r>
      <w:r>
        <w:instrText xml:space="preserve"> PAGEREF _Toc31772 \h </w:instrText>
      </w:r>
      <w:r>
        <w:fldChar w:fldCharType="separate"/>
      </w:r>
      <w:r>
        <w:t>- 37 -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_Toc11228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七、存在的问题及原因分析</w:t>
      </w:r>
      <w:r>
        <w:tab/>
      </w:r>
      <w:r>
        <w:fldChar w:fldCharType="begin"/>
      </w:r>
      <w:r>
        <w:instrText xml:space="preserve"> PAGEREF _Toc11228 \h </w:instrText>
      </w:r>
      <w:r>
        <w:fldChar w:fldCharType="separate"/>
      </w:r>
      <w:r>
        <w:t>- 38 -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_Toc16345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八、有关建议</w:t>
      </w:r>
      <w:r>
        <w:tab/>
      </w:r>
      <w:r>
        <w:fldChar w:fldCharType="begin"/>
      </w:r>
      <w:r>
        <w:instrText xml:space="preserve"> PAGEREF _Toc16345 \h </w:instrText>
      </w:r>
      <w:r>
        <w:fldChar w:fldCharType="separate"/>
      </w:r>
      <w:r>
        <w:t>- 39 -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_Toc31126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九、需要说明的问题</w:t>
      </w:r>
      <w:r>
        <w:tab/>
      </w:r>
      <w:r>
        <w:fldChar w:fldCharType="begin"/>
      </w:r>
      <w:r>
        <w:instrText xml:space="preserve"> PAGEREF _Toc31126 \h </w:instrText>
      </w:r>
      <w:r>
        <w:fldChar w:fldCharType="separate"/>
      </w:r>
      <w:r>
        <w:t>- 40 -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方正小标宋简体" w:hAnsi="华文中宋" w:eastAsia="方正小标宋简体" w:cs="华文中宋"/>
          <w:bCs/>
          <w:color w:val="auto"/>
          <w:szCs w:val="44"/>
          <w:highlight w:val="none"/>
          <w:lang w:eastAsia="zh-CN"/>
        </w:rPr>
        <w:fldChar w:fldCharType="begin"/>
      </w:r>
      <w:r>
        <w:rPr>
          <w:rFonts w:hint="eastAsia" w:ascii="方正小标宋简体" w:hAnsi="华文中宋" w:eastAsia="方正小标宋简体" w:cs="华文中宋"/>
          <w:bCs/>
          <w:szCs w:val="44"/>
          <w:highlight w:val="none"/>
          <w:lang w:eastAsia="zh-CN"/>
        </w:rPr>
        <w:instrText xml:space="preserve"> HYPERLINK \l _Toc5700 </w:instrText>
      </w:r>
      <w:r>
        <w:rPr>
          <w:rFonts w:hint="eastAsia" w:ascii="方正小标宋简体" w:hAnsi="华文中宋" w:eastAsia="方正小标宋简体" w:cs="华文中宋"/>
          <w:bCs/>
          <w:szCs w:val="44"/>
          <w:highlight w:val="none"/>
          <w:lang w:eastAsia="zh-CN"/>
        </w:rPr>
        <w:fldChar w:fldCharType="separate"/>
      </w:r>
      <w:r>
        <w:rPr>
          <w:rFonts w:hint="eastAsia" w:ascii="黑体" w:hAnsi="黑体" w:eastAsia="黑体" w:cs="黑体"/>
          <w:bCs w:val="0"/>
          <w:szCs w:val="32"/>
          <w:highlight w:val="none"/>
          <w:lang w:val="en-US" w:eastAsia="zh-CN"/>
        </w:rPr>
        <w:t>十、其他附件</w:t>
      </w:r>
      <w:r>
        <w:tab/>
      </w:r>
      <w:r>
        <w:fldChar w:fldCharType="begin"/>
      </w:r>
      <w:r>
        <w:instrText xml:space="preserve"> PAGEREF _Toc5700 \h </w:instrText>
      </w:r>
      <w:r>
        <w:fldChar w:fldCharType="separate"/>
      </w:r>
      <w:r>
        <w:t>- 41 -</w:t>
      </w:r>
      <w:r>
        <w:fldChar w:fldCharType="end"/>
      </w:r>
      <w:r>
        <w:rPr>
          <w:rFonts w:hint="eastAsia" w:ascii="方正小标宋简体" w:hAnsi="华文中宋" w:eastAsia="方正小标宋简体" w:cs="华文中宋"/>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bCs/>
          <w:color w:val="auto"/>
          <w:szCs w:val="44"/>
          <w:highlight w:val="none"/>
          <w:lang w:eastAsia="zh-CN"/>
        </w:rPr>
        <w:fldChar w:fldCharType="begin"/>
      </w:r>
      <w:r>
        <w:rPr>
          <w:rFonts w:hint="eastAsia" w:ascii="楷体_GB2312" w:hAnsi="楷体_GB2312" w:eastAsia="楷体_GB2312" w:cs="楷体_GB2312"/>
          <w:bCs/>
          <w:szCs w:val="44"/>
          <w:highlight w:val="none"/>
          <w:lang w:eastAsia="zh-CN"/>
        </w:rPr>
        <w:instrText xml:space="preserve"> HYPERLINK \l _Toc27721 </w:instrText>
      </w:r>
      <w:r>
        <w:rPr>
          <w:rFonts w:hint="eastAsia" w:ascii="楷体_GB2312" w:hAnsi="楷体_GB2312" w:eastAsia="楷体_GB2312" w:cs="楷体_GB2312"/>
          <w:bCs/>
          <w:szCs w:val="44"/>
          <w:highlight w:val="none"/>
          <w:lang w:eastAsia="zh-CN"/>
        </w:rPr>
        <w:fldChar w:fldCharType="separate"/>
      </w:r>
      <w:r>
        <w:rPr>
          <w:rFonts w:hint="eastAsia" w:ascii="楷体_GB2312" w:hAnsi="楷体_GB2312" w:eastAsia="楷体_GB2312" w:cs="楷体_GB2312"/>
          <w:bCs/>
          <w:szCs w:val="28"/>
          <w:highlight w:val="none"/>
        </w:rPr>
        <w:t>附件1</w:t>
      </w:r>
      <w:r>
        <w:rPr>
          <w:rFonts w:hint="eastAsia" w:ascii="楷体_GB2312" w:hAnsi="楷体_GB2312" w:eastAsia="楷体_GB2312" w:cs="楷体_GB2312"/>
          <w:bCs/>
          <w:szCs w:val="28"/>
          <w:highlight w:val="none"/>
          <w:lang w:val="en-US" w:eastAsia="zh-CN"/>
        </w:rPr>
        <w:t xml:space="preserve"> </w:t>
      </w:r>
      <w:r>
        <w:rPr>
          <w:rFonts w:hint="eastAsia" w:ascii="楷体_GB2312" w:hAnsi="楷体_GB2312" w:eastAsia="楷体_GB2312" w:cs="楷体_GB2312"/>
          <w:bCs/>
          <w:szCs w:val="28"/>
          <w:highlight w:val="none"/>
        </w:rPr>
        <w:t>绩效评价指标体系</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_Toc27721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- 42 -</w:t>
      </w:r>
      <w:r>
        <w:rPr>
          <w:rFonts w:hint="eastAsia" w:ascii="楷体_GB2312" w:hAnsi="楷体_GB2312" w:eastAsia="楷体_GB2312" w:cs="楷体_GB2312"/>
        </w:rPr>
        <w:fldChar w:fldCharType="end"/>
      </w:r>
      <w:r>
        <w:rPr>
          <w:rFonts w:hint="eastAsia" w:ascii="楷体_GB2312" w:hAnsi="楷体_GB2312" w:eastAsia="楷体_GB2312" w:cs="楷体_GB2312"/>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rPr>
      </w:pPr>
      <w:r>
        <w:rPr>
          <w:rFonts w:hint="eastAsia" w:ascii="楷体_GB2312" w:hAnsi="楷体_GB2312" w:eastAsia="楷体_GB2312" w:cs="楷体_GB2312"/>
          <w:bCs/>
          <w:color w:val="auto"/>
          <w:szCs w:val="44"/>
          <w:highlight w:val="none"/>
          <w:lang w:eastAsia="zh-CN"/>
        </w:rPr>
        <w:fldChar w:fldCharType="begin"/>
      </w:r>
      <w:r>
        <w:rPr>
          <w:rFonts w:hint="eastAsia" w:ascii="楷体_GB2312" w:hAnsi="楷体_GB2312" w:eastAsia="楷体_GB2312" w:cs="楷体_GB2312"/>
          <w:bCs/>
          <w:szCs w:val="44"/>
          <w:highlight w:val="none"/>
          <w:lang w:eastAsia="zh-CN"/>
        </w:rPr>
        <w:instrText xml:space="preserve"> HYPERLINK \l _Toc7142 </w:instrText>
      </w:r>
      <w:r>
        <w:rPr>
          <w:rFonts w:hint="eastAsia" w:ascii="楷体_GB2312" w:hAnsi="楷体_GB2312" w:eastAsia="楷体_GB2312" w:cs="楷体_GB2312"/>
          <w:bCs/>
          <w:szCs w:val="44"/>
          <w:highlight w:val="none"/>
          <w:lang w:eastAsia="zh-CN"/>
        </w:rPr>
        <w:fldChar w:fldCharType="separate"/>
      </w:r>
      <w:r>
        <w:rPr>
          <w:rFonts w:hint="eastAsia" w:ascii="楷体_GB2312" w:hAnsi="楷体_GB2312" w:eastAsia="楷体_GB2312" w:cs="楷体_GB2312"/>
          <w:bCs/>
          <w:szCs w:val="28"/>
          <w:highlight w:val="none"/>
        </w:rPr>
        <w:t>附件</w:t>
      </w:r>
      <w:r>
        <w:rPr>
          <w:rFonts w:hint="eastAsia" w:ascii="楷体_GB2312" w:hAnsi="楷体_GB2312" w:eastAsia="楷体_GB2312" w:cs="楷体_GB2312"/>
          <w:bCs/>
          <w:szCs w:val="28"/>
          <w:highlight w:val="none"/>
          <w:lang w:val="en-US" w:eastAsia="zh-CN"/>
        </w:rPr>
        <w:t>2</w:t>
      </w:r>
      <w:r>
        <w:rPr>
          <w:rFonts w:hint="eastAsia" w:ascii="楷体_GB2312" w:hAnsi="楷体_GB2312" w:eastAsia="楷体_GB2312" w:cs="楷体_GB2312"/>
          <w:bCs/>
          <w:szCs w:val="28"/>
          <w:highlight w:val="none"/>
        </w:rPr>
        <w:t xml:space="preserve"> </w:t>
      </w:r>
      <w:r>
        <w:rPr>
          <w:rFonts w:hint="eastAsia" w:ascii="楷体_GB2312" w:hAnsi="楷体_GB2312" w:eastAsia="楷体_GB2312" w:cs="楷体_GB2312"/>
          <w:bCs/>
          <w:szCs w:val="28"/>
          <w:highlight w:val="none"/>
          <w:lang w:eastAsia="zh-CN"/>
        </w:rPr>
        <w:t>项目资金使用情况表</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_Toc7142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- 53 -</w:t>
      </w:r>
      <w:r>
        <w:rPr>
          <w:rFonts w:hint="eastAsia" w:ascii="楷体_GB2312" w:hAnsi="楷体_GB2312" w:eastAsia="楷体_GB2312" w:cs="楷体_GB2312"/>
        </w:rPr>
        <w:fldChar w:fldCharType="end"/>
      </w:r>
      <w:r>
        <w:rPr>
          <w:rFonts w:hint="eastAsia" w:ascii="楷体_GB2312" w:hAnsi="楷体_GB2312" w:eastAsia="楷体_GB2312" w:cs="楷体_GB2312"/>
          <w:bCs/>
          <w:color w:val="auto"/>
          <w:szCs w:val="44"/>
          <w:highlight w:val="none"/>
          <w:lang w:eastAsia="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600" w:lineRule="exact"/>
        <w:textAlignment w:val="auto"/>
      </w:pPr>
      <w:r>
        <w:rPr>
          <w:rFonts w:hint="eastAsia" w:ascii="楷体_GB2312" w:hAnsi="楷体_GB2312" w:eastAsia="楷体_GB2312" w:cs="楷体_GB2312"/>
          <w:bCs/>
          <w:color w:val="auto"/>
          <w:szCs w:val="44"/>
          <w:highlight w:val="none"/>
          <w:lang w:eastAsia="zh-CN"/>
        </w:rPr>
        <w:fldChar w:fldCharType="begin"/>
      </w:r>
      <w:r>
        <w:rPr>
          <w:rFonts w:hint="eastAsia" w:ascii="楷体_GB2312" w:hAnsi="楷体_GB2312" w:eastAsia="楷体_GB2312" w:cs="楷体_GB2312"/>
          <w:bCs/>
          <w:szCs w:val="44"/>
          <w:highlight w:val="none"/>
          <w:lang w:eastAsia="zh-CN"/>
        </w:rPr>
        <w:instrText xml:space="preserve"> HYPERLINK \l _Toc13135 </w:instrText>
      </w:r>
      <w:r>
        <w:rPr>
          <w:rFonts w:hint="eastAsia" w:ascii="楷体_GB2312" w:hAnsi="楷体_GB2312" w:eastAsia="楷体_GB2312" w:cs="楷体_GB2312"/>
          <w:bCs/>
          <w:szCs w:val="44"/>
          <w:highlight w:val="none"/>
          <w:lang w:eastAsia="zh-CN"/>
        </w:rPr>
        <w:fldChar w:fldCharType="separate"/>
      </w:r>
      <w:r>
        <w:rPr>
          <w:rFonts w:hint="eastAsia" w:ascii="楷体_GB2312" w:hAnsi="楷体_GB2312" w:eastAsia="楷体_GB2312" w:cs="楷体_GB2312"/>
          <w:bCs/>
          <w:szCs w:val="28"/>
          <w:highlight w:val="none"/>
        </w:rPr>
        <w:t>附件</w:t>
      </w:r>
      <w:r>
        <w:rPr>
          <w:rFonts w:hint="eastAsia" w:ascii="楷体_GB2312" w:hAnsi="楷体_GB2312" w:eastAsia="楷体_GB2312" w:cs="楷体_GB2312"/>
          <w:bCs/>
          <w:szCs w:val="28"/>
          <w:highlight w:val="none"/>
          <w:lang w:val="en-US" w:eastAsia="zh-CN"/>
        </w:rPr>
        <w:t>3</w:t>
      </w:r>
      <w:r>
        <w:rPr>
          <w:rFonts w:hint="eastAsia" w:ascii="楷体_GB2312" w:hAnsi="楷体_GB2312" w:eastAsia="楷体_GB2312" w:cs="楷体_GB2312"/>
          <w:bCs/>
          <w:szCs w:val="28"/>
          <w:highlight w:val="none"/>
        </w:rPr>
        <w:t xml:space="preserve"> </w:t>
      </w:r>
      <w:r>
        <w:rPr>
          <w:rFonts w:hint="eastAsia" w:ascii="楷体_GB2312" w:hAnsi="楷体_GB2312" w:eastAsia="楷体_GB2312" w:cs="楷体_GB2312"/>
          <w:bCs/>
          <w:szCs w:val="28"/>
          <w:highlight w:val="none"/>
          <w:lang w:eastAsia="zh-CN"/>
        </w:rPr>
        <w:t>问卷调查满意度分析</w:t>
      </w:r>
      <w:r>
        <w:rPr>
          <w:rFonts w:hint="eastAsia" w:ascii="楷体_GB2312" w:hAnsi="楷体_GB2312" w:eastAsia="楷体_GB2312" w:cs="楷体_GB2312"/>
        </w:rPr>
        <w:tab/>
      </w: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PAGEREF _Toc13135 \h </w:instrText>
      </w:r>
      <w:r>
        <w:rPr>
          <w:rFonts w:hint="eastAsia" w:ascii="楷体_GB2312" w:hAnsi="楷体_GB2312" w:eastAsia="楷体_GB2312" w:cs="楷体_GB2312"/>
        </w:rPr>
        <w:fldChar w:fldCharType="separate"/>
      </w:r>
      <w:r>
        <w:rPr>
          <w:rFonts w:hint="eastAsia" w:ascii="楷体_GB2312" w:hAnsi="楷体_GB2312" w:eastAsia="楷体_GB2312" w:cs="楷体_GB2312"/>
        </w:rPr>
        <w:t>- 54 -</w:t>
      </w:r>
      <w:r>
        <w:rPr>
          <w:rFonts w:hint="eastAsia" w:ascii="楷体_GB2312" w:hAnsi="楷体_GB2312" w:eastAsia="楷体_GB2312" w:cs="楷体_GB2312"/>
        </w:rPr>
        <w:fldChar w:fldCharType="end"/>
      </w:r>
      <w:r>
        <w:rPr>
          <w:rFonts w:hint="eastAsia" w:ascii="楷体_GB2312" w:hAnsi="楷体_GB2312" w:eastAsia="楷体_GB2312" w:cs="楷体_GB2312"/>
          <w:bCs/>
          <w:color w:val="auto"/>
          <w:szCs w:val="44"/>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华文中宋" w:eastAsia="方正小标宋简体" w:cs="华文中宋"/>
          <w:b w:val="0"/>
          <w:bCs/>
          <w:color w:val="auto"/>
          <w:sz w:val="44"/>
          <w:szCs w:val="44"/>
          <w:highlight w:val="none"/>
          <w:lang w:eastAsia="zh-CN"/>
        </w:rPr>
      </w:pPr>
      <w:r>
        <w:rPr>
          <w:rFonts w:hint="eastAsia" w:ascii="方正小标宋简体" w:hAnsi="华文中宋" w:eastAsia="方正小标宋简体" w:cs="华文中宋"/>
          <w:bCs/>
          <w:color w:val="auto"/>
          <w:szCs w:val="44"/>
          <w:highlight w:val="none"/>
          <w:lang w:eastAsia="zh-CN"/>
        </w:rPr>
        <w:fldChar w:fldCharType="end"/>
      </w:r>
    </w:p>
    <w:p>
      <w:pPr>
        <w:pStyle w:val="2"/>
        <w:rPr>
          <w:rFonts w:hint="eastAsia" w:ascii="方正小标宋简体" w:hAnsi="华文中宋" w:eastAsia="方正小标宋简体" w:cs="华文中宋"/>
          <w:b w:val="0"/>
          <w:bCs/>
          <w:color w:val="auto"/>
          <w:sz w:val="44"/>
          <w:szCs w:val="44"/>
          <w:highlight w:val="none"/>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lang w:eastAsia="zh-CN"/>
        </w:rPr>
      </w:pPr>
    </w:p>
    <w:p>
      <w:pPr>
        <w:rPr>
          <w:rFonts w:hint="eastAsia" w:ascii="方正小标宋简体" w:hAnsi="华文中宋" w:eastAsia="方正小标宋简体" w:cs="华文中宋"/>
          <w:b w:val="0"/>
          <w:bCs/>
          <w:color w:val="auto"/>
          <w:sz w:val="44"/>
          <w:szCs w:val="44"/>
          <w:highlight w:val="none"/>
          <w:lang w:eastAsia="zh-CN"/>
        </w:rPr>
      </w:pPr>
    </w:p>
    <w:p>
      <w:pPr>
        <w:pStyle w:val="2"/>
        <w:rPr>
          <w:rFonts w:hint="eastAsia" w:ascii="方正小标宋简体" w:hAnsi="华文中宋" w:eastAsia="方正小标宋简体" w:cs="华文中宋"/>
          <w:b w:val="0"/>
          <w:bCs/>
          <w:color w:val="auto"/>
          <w:sz w:val="44"/>
          <w:szCs w:val="44"/>
          <w:highlight w:val="none"/>
          <w:lang w:eastAsia="zh-CN"/>
        </w:rPr>
        <w:sectPr>
          <w:headerReference r:id="rId11" w:type="default"/>
          <w:footerReference r:id="rId12" w:type="default"/>
          <w:pgSz w:w="11906" w:h="16838"/>
          <w:pgMar w:top="1440" w:right="1800" w:bottom="1440" w:left="1800" w:header="851" w:footer="722" w:gutter="0"/>
          <w:pgBorders>
            <w:top w:val="none" w:sz="0" w:space="0"/>
            <w:left w:val="none" w:sz="0" w:space="0"/>
            <w:bottom w:val="none" w:sz="0" w:space="0"/>
            <w:right w:val="none" w:sz="0" w:space="0"/>
          </w:pgBorders>
          <w:pgNumType w:fmt="numberInDash" w:start="1"/>
          <w:cols w:space="425" w:num="1"/>
          <w:docGrid w:type="lines" w:linePitch="435" w:charSpace="0"/>
        </w:sect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华文中宋" w:eastAsia="方正小标宋简体" w:cs="华文中宋"/>
          <w:b w:val="0"/>
          <w:bCs/>
          <w:color w:val="auto"/>
          <w:sz w:val="44"/>
          <w:szCs w:val="44"/>
          <w:highlight w:val="none"/>
          <w:lang w:eastAsia="zh-CN"/>
        </w:rPr>
      </w:pPr>
      <w:bookmarkStart w:id="16" w:name="_Toc8135"/>
      <w:bookmarkStart w:id="17" w:name="_Toc20011"/>
      <w:r>
        <w:rPr>
          <w:rFonts w:hint="eastAsia" w:ascii="方正小标宋简体" w:hAnsi="华文中宋" w:eastAsia="方正小标宋简体" w:cs="华文中宋"/>
          <w:b w:val="0"/>
          <w:bCs/>
          <w:color w:val="auto"/>
          <w:sz w:val="44"/>
          <w:szCs w:val="44"/>
          <w:highlight w:val="none"/>
          <w:lang w:eastAsia="zh-CN"/>
        </w:rPr>
        <w:t>中共甘肃省委机构编制委员会办公室</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华文中宋" w:eastAsia="方正小标宋简体" w:cs="华文中宋"/>
          <w:b w:val="0"/>
          <w:bCs/>
          <w:color w:val="auto"/>
          <w:sz w:val="44"/>
          <w:szCs w:val="44"/>
          <w:highlight w:val="none"/>
        </w:rPr>
      </w:pPr>
      <w:bookmarkStart w:id="18" w:name="_Toc3864"/>
      <w:bookmarkStart w:id="19" w:name="_Toc31881"/>
      <w:r>
        <w:rPr>
          <w:rFonts w:hint="eastAsia" w:ascii="方正小标宋简体" w:hAnsi="华文中宋" w:eastAsia="方正小标宋简体" w:cs="华文中宋"/>
          <w:b w:val="0"/>
          <w:bCs/>
          <w:color w:val="auto"/>
          <w:sz w:val="44"/>
          <w:szCs w:val="44"/>
          <w:highlight w:val="none"/>
          <w:lang w:val="en-US" w:eastAsia="zh-CN"/>
        </w:rPr>
        <w:t>2021年</w:t>
      </w:r>
      <w:r>
        <w:rPr>
          <w:rFonts w:hint="eastAsia" w:ascii="方正小标宋简体" w:hAnsi="华文中宋" w:eastAsia="方正小标宋简体" w:cs="华文中宋"/>
          <w:b w:val="0"/>
          <w:bCs/>
          <w:color w:val="auto"/>
          <w:sz w:val="44"/>
          <w:szCs w:val="44"/>
          <w:highlight w:val="none"/>
          <w:lang w:eastAsia="zh-CN"/>
        </w:rPr>
        <w:t>业务费项目支出</w:t>
      </w:r>
      <w:r>
        <w:rPr>
          <w:rFonts w:hint="eastAsia" w:ascii="方正小标宋简体" w:hAnsi="华文中宋" w:eastAsia="方正小标宋简体" w:cs="华文中宋"/>
          <w:b w:val="0"/>
          <w:bCs/>
          <w:color w:val="auto"/>
          <w:sz w:val="44"/>
          <w:szCs w:val="44"/>
          <w:highlight w:val="none"/>
        </w:rPr>
        <w:t>绩效评价报告</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Ansi="华文中宋" w:cs="华文中宋"/>
          <w:color w:val="auto"/>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20" w:name="_Toc6115"/>
      <w:bookmarkStart w:id="21" w:name="_Toc20117"/>
      <w:bookmarkStart w:id="22" w:name="_Toc19092"/>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"_Toc32527"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一、项目基本情况</w:t>
      </w:r>
      <w:r>
        <w:rPr>
          <w:rFonts w:hint="eastAsia" w:ascii="黑体" w:hAnsi="黑体" w:eastAsia="黑体" w:cs="黑体"/>
          <w:b w:val="0"/>
          <w:bCs w:val="0"/>
          <w:color w:val="auto"/>
          <w:sz w:val="32"/>
          <w:szCs w:val="32"/>
          <w:highlight w:val="none"/>
          <w:lang w:val="en-US" w:eastAsia="zh-CN"/>
        </w:rPr>
        <w:fldChar w:fldCharType="end"/>
      </w:r>
      <w:bookmarkEnd w:id="20"/>
      <w:bookmarkEnd w:id="21"/>
      <w:bookmarkEnd w:id="22"/>
    </w:p>
    <w:p>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textAlignment w:val="auto"/>
        <w:outlineLvl w:val="1"/>
        <w:rPr>
          <w:rFonts w:hint="eastAsia" w:eastAsia="楷体"/>
          <w:b w:val="0"/>
          <w:bCs w:val="0"/>
          <w:color w:val="auto"/>
          <w:sz w:val="32"/>
          <w:szCs w:val="32"/>
          <w:highlight w:val="none"/>
          <w:lang w:eastAsia="zh-CN"/>
        </w:rPr>
      </w:pPr>
      <w:bookmarkStart w:id="23" w:name="_Toc11088"/>
      <w:bookmarkStart w:id="24" w:name="_Toc25857"/>
      <w:bookmarkStart w:id="25" w:name="_Toc21223"/>
      <w:r>
        <w:rPr>
          <w:rFonts w:hint="eastAsia" w:ascii="楷体_GB2312" w:hAnsi="楷体_GB2312" w:eastAsia="楷体_GB2312" w:cs="楷体_GB2312"/>
          <w:b w:val="0"/>
          <w:bCs/>
          <w:color w:val="auto"/>
          <w:sz w:val="32"/>
          <w:szCs w:val="32"/>
          <w:highlight w:val="none"/>
          <w:lang w:eastAsia="zh-CN"/>
        </w:rPr>
        <w:fldChar w:fldCharType="begin"/>
      </w:r>
      <w:r>
        <w:rPr>
          <w:rFonts w:hint="eastAsia" w:ascii="楷体_GB2312" w:hAnsi="楷体_GB2312" w:eastAsia="楷体_GB2312" w:cs="楷体_GB2312"/>
          <w:b w:val="0"/>
          <w:bCs/>
          <w:color w:val="auto"/>
          <w:sz w:val="32"/>
          <w:szCs w:val="32"/>
          <w:highlight w:val="none"/>
          <w:lang w:eastAsia="zh-CN"/>
        </w:rPr>
        <w:instrText xml:space="preserve"> HYPERLINK \l _Toc7405 </w:instrText>
      </w:r>
      <w:r>
        <w:rPr>
          <w:rFonts w:hint="eastAsia" w:ascii="楷体_GB2312" w:hAnsi="楷体_GB2312" w:eastAsia="楷体_GB2312" w:cs="楷体_GB2312"/>
          <w:b w:val="0"/>
          <w:bCs/>
          <w:color w:val="auto"/>
          <w:sz w:val="32"/>
          <w:szCs w:val="32"/>
          <w:highlight w:val="none"/>
          <w:lang w:eastAsia="zh-CN"/>
        </w:rPr>
        <w:fldChar w:fldCharType="separate"/>
      </w:r>
      <w:r>
        <w:rPr>
          <w:rFonts w:hint="eastAsia" w:ascii="楷体_GB2312" w:hAnsi="楷体_GB2312" w:eastAsia="楷体_GB2312" w:cs="楷体_GB2312"/>
          <w:b w:val="0"/>
          <w:bCs/>
          <w:color w:val="auto"/>
          <w:sz w:val="32"/>
          <w:szCs w:val="32"/>
          <w:highlight w:val="none"/>
          <w:lang w:eastAsia="zh-CN"/>
        </w:rPr>
        <w:t>（一）项目立</w:t>
      </w:r>
      <w:r>
        <w:rPr>
          <w:rFonts w:hint="eastAsia" w:ascii="楷体_GB2312" w:hAnsi="楷体_GB2312" w:eastAsia="楷体_GB2312" w:cs="楷体_GB2312"/>
          <w:b w:val="0"/>
          <w:bCs/>
          <w:color w:val="auto"/>
          <w:sz w:val="32"/>
          <w:szCs w:val="32"/>
          <w:highlight w:val="none"/>
          <w:lang w:eastAsia="zh-CN"/>
        </w:rPr>
        <w:fldChar w:fldCharType="end"/>
      </w:r>
      <w:bookmarkEnd w:id="23"/>
      <w:r>
        <w:rPr>
          <w:rFonts w:hint="eastAsia" w:ascii="楷体_GB2312" w:hAnsi="楷体_GB2312" w:eastAsia="楷体_GB2312" w:cs="楷体_GB2312"/>
          <w:b w:val="0"/>
          <w:bCs/>
          <w:color w:val="auto"/>
          <w:sz w:val="32"/>
          <w:szCs w:val="32"/>
          <w:highlight w:val="none"/>
          <w:lang w:eastAsia="zh-CN"/>
        </w:rPr>
        <w:t>项背景</w:t>
      </w:r>
      <w:bookmarkEnd w:id="24"/>
      <w:r>
        <w:rPr>
          <w:rFonts w:hint="eastAsia" w:ascii="楷体_GB2312" w:hAnsi="楷体_GB2312" w:eastAsia="楷体_GB2312" w:cs="楷体_GB2312"/>
          <w:b w:val="0"/>
          <w:bCs/>
          <w:color w:val="auto"/>
          <w:sz w:val="32"/>
          <w:szCs w:val="32"/>
          <w:highlight w:val="none"/>
          <w:lang w:eastAsia="zh-CN"/>
        </w:rPr>
        <w:t>及实施目的</w:t>
      </w:r>
      <w:bookmarkEnd w:id="25"/>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b w:val="0"/>
          <w:color w:val="auto"/>
          <w:kern w:val="2"/>
          <w:sz w:val="32"/>
          <w:szCs w:val="32"/>
          <w:highlight w:val="none"/>
          <w:lang w:val="en-US" w:eastAsia="zh-CN" w:bidi="ar-SA"/>
        </w:rPr>
      </w:pPr>
      <w:bookmarkStart w:id="26" w:name="_Toc17368"/>
      <w:bookmarkStart w:id="27" w:name="_Toc31803"/>
      <w:bookmarkStart w:id="28" w:name="_Toc21720"/>
      <w:r>
        <w:rPr>
          <w:rFonts w:hint="eastAsia" w:cs="仿宋_GB2312"/>
          <w:b w:val="0"/>
          <w:color w:val="auto"/>
          <w:kern w:val="2"/>
          <w:sz w:val="32"/>
          <w:szCs w:val="32"/>
          <w:highlight w:val="none"/>
          <w:lang w:val="en-US" w:eastAsia="zh-CN" w:bidi="ar-SA"/>
        </w:rPr>
        <w:t>机构编制工作是党的一项重要工作，在加强党和国家机构职能体系建设、深化机构改革、优化党的执政资源配置方面发挥着至关重要的作用，对推进国家治理体系和治理能力现代化具有重大意义。机构编制管理主要围绕机构改革、体制机制和职责调整、各类机关和事业单位机构、编制、领导职数配备和调整开展。</w:t>
      </w:r>
      <w:bookmarkEnd w:id="26"/>
      <w:bookmarkEnd w:id="27"/>
      <w:r>
        <w:rPr>
          <w:rFonts w:hint="eastAsia" w:ascii="仿宋_GB2312" w:hAnsi="仿宋_GB2312" w:eastAsia="仿宋_GB2312" w:cs="仿宋_GB2312"/>
          <w:b w:val="0"/>
          <w:color w:val="auto"/>
          <w:kern w:val="2"/>
          <w:sz w:val="32"/>
          <w:szCs w:val="32"/>
          <w:highlight w:val="none"/>
          <w:lang w:val="en-US" w:eastAsia="zh-CN" w:bidi="ar-SA"/>
        </w:rPr>
        <w:t>机构职能配置是否科学、内设机构是否适当、人员编制是否合理，直接影响着党治国理政的组织基础及效能发挥。</w:t>
      </w:r>
      <w:bookmarkEnd w:id="28"/>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default" w:ascii="仿宋_GB2312" w:hAnsi="仿宋_GB2312" w:eastAsia="仿宋_GB2312" w:cs="仿宋_GB2312"/>
          <w:b w:val="0"/>
          <w:color w:val="auto"/>
          <w:kern w:val="2"/>
          <w:sz w:val="32"/>
          <w:szCs w:val="32"/>
          <w:highlight w:val="none"/>
          <w:lang w:val="en-US" w:eastAsia="zh-CN" w:bidi="ar-SA"/>
        </w:rPr>
      </w:pPr>
      <w:bookmarkStart w:id="29" w:name="_Toc26491"/>
      <w:r>
        <w:rPr>
          <w:rFonts w:hint="eastAsia" w:cs="仿宋_GB2312"/>
          <w:b w:val="0"/>
          <w:color w:val="auto"/>
          <w:kern w:val="2"/>
          <w:sz w:val="32"/>
          <w:szCs w:val="32"/>
          <w:highlight w:val="none"/>
          <w:lang w:val="en-US" w:eastAsia="zh-CN" w:bidi="ar-SA"/>
        </w:rPr>
        <w:t>中共</w:t>
      </w:r>
      <w:r>
        <w:rPr>
          <w:rFonts w:hint="eastAsia" w:ascii="仿宋_GB2312" w:hAnsi="仿宋_GB2312" w:eastAsia="仿宋_GB2312" w:cs="仿宋_GB2312"/>
          <w:b w:val="0"/>
          <w:color w:val="auto"/>
          <w:kern w:val="2"/>
          <w:sz w:val="32"/>
          <w:szCs w:val="32"/>
          <w:highlight w:val="none"/>
          <w:lang w:val="en-US" w:eastAsia="zh-CN" w:bidi="ar-SA"/>
        </w:rPr>
        <w:t>甘肃省委机构编制委员会办公室</w:t>
      </w:r>
      <w:r>
        <w:rPr>
          <w:rFonts w:hint="eastAsia" w:cs="仿宋_GB2312"/>
          <w:b w:val="0"/>
          <w:color w:val="auto"/>
          <w:kern w:val="2"/>
          <w:sz w:val="32"/>
          <w:szCs w:val="32"/>
          <w:highlight w:val="none"/>
          <w:lang w:val="en-US" w:eastAsia="zh-CN" w:bidi="ar-SA"/>
        </w:rPr>
        <w:t>（以下简称“省委编办”）作为</w:t>
      </w:r>
      <w:r>
        <w:rPr>
          <w:rFonts w:hint="eastAsia" w:ascii="仿宋_GB2312" w:hAnsi="仿宋_GB2312" w:eastAsia="仿宋_GB2312" w:cs="仿宋_GB2312"/>
          <w:b w:val="0"/>
          <w:color w:val="auto"/>
          <w:kern w:val="2"/>
          <w:sz w:val="32"/>
          <w:szCs w:val="32"/>
          <w:highlight w:val="none"/>
          <w:lang w:val="en-US" w:eastAsia="zh-CN" w:bidi="ar-SA"/>
        </w:rPr>
        <w:t>甘肃省委机构编制委员会的办事机构</w:t>
      </w:r>
      <w:r>
        <w:rPr>
          <w:rFonts w:hint="eastAsia" w:cs="仿宋_GB2312"/>
          <w:b w:val="0"/>
          <w:color w:val="auto"/>
          <w:kern w:val="2"/>
          <w:sz w:val="32"/>
          <w:szCs w:val="32"/>
          <w:highlight w:val="none"/>
          <w:lang w:val="en-US" w:eastAsia="zh-CN" w:bidi="ar-SA"/>
        </w:rPr>
        <w:t>及</w:t>
      </w:r>
      <w:r>
        <w:rPr>
          <w:rFonts w:hint="eastAsia" w:ascii="仿宋_GB2312" w:hAnsi="仿宋_GB2312" w:eastAsia="仿宋_GB2312" w:cs="仿宋_GB2312"/>
          <w:b w:val="0"/>
          <w:color w:val="auto"/>
          <w:kern w:val="2"/>
          <w:sz w:val="32"/>
          <w:szCs w:val="32"/>
          <w:highlight w:val="none"/>
          <w:lang w:val="en-US" w:eastAsia="zh-CN" w:bidi="ar-SA"/>
        </w:rPr>
        <w:t>省委工作机关</w:t>
      </w:r>
      <w:r>
        <w:rPr>
          <w:rFonts w:hint="eastAsia" w:cs="仿宋_GB2312"/>
          <w:b w:val="0"/>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承担省委机构编制委员会日常工作，指导、协调全省各级机构改革</w:t>
      </w:r>
      <w:r>
        <w:rPr>
          <w:rFonts w:hint="eastAsia" w:cs="仿宋_GB2312"/>
          <w:b w:val="0"/>
          <w:color w:val="auto"/>
          <w:kern w:val="2"/>
          <w:sz w:val="32"/>
          <w:szCs w:val="32"/>
          <w:highlight w:val="none"/>
          <w:lang w:val="en-US" w:eastAsia="zh-CN" w:bidi="ar-SA"/>
        </w:rPr>
        <w:t>和机构编制管理工作。近年来</w:t>
      </w:r>
      <w:r>
        <w:rPr>
          <w:rFonts w:hint="eastAsia" w:ascii="仿宋_GB2312" w:hAnsi="仿宋_GB2312" w:eastAsia="仿宋_GB2312" w:cs="仿宋_GB2312"/>
          <w:b w:val="0"/>
          <w:color w:val="auto"/>
          <w:kern w:val="2"/>
          <w:sz w:val="32"/>
          <w:szCs w:val="32"/>
          <w:highlight w:val="none"/>
          <w:lang w:val="en-US" w:eastAsia="zh-CN" w:bidi="ar-SA"/>
        </w:rPr>
        <w:t>，</w:t>
      </w:r>
      <w:r>
        <w:rPr>
          <w:rFonts w:hint="eastAsia" w:cs="仿宋_GB2312"/>
          <w:b w:val="0"/>
          <w:color w:val="auto"/>
          <w:kern w:val="2"/>
          <w:sz w:val="32"/>
          <w:szCs w:val="32"/>
          <w:highlight w:val="none"/>
          <w:lang w:val="en-US" w:eastAsia="zh-CN" w:bidi="ar-SA"/>
        </w:rPr>
        <w:t>省委编办认真贯彻执行党中央、省委关于机构编制工作决策部署，认真落实中央编委会议、全国编办主任会议精神，从</w:t>
      </w:r>
      <w:r>
        <w:rPr>
          <w:rFonts w:hint="eastAsia" w:ascii="仿宋_GB2312" w:hAnsi="仿宋_GB2312" w:eastAsia="仿宋_GB2312" w:cs="仿宋_GB2312"/>
          <w:b w:val="0"/>
          <w:color w:val="auto"/>
          <w:kern w:val="2"/>
          <w:sz w:val="32"/>
          <w:szCs w:val="32"/>
          <w:highlight w:val="none"/>
          <w:lang w:val="en-US" w:eastAsia="zh-CN" w:bidi="ar-SA"/>
        </w:rPr>
        <w:t>实际出发，</w:t>
      </w:r>
      <w:r>
        <w:rPr>
          <w:rFonts w:hint="eastAsia" w:cs="仿宋_GB2312"/>
          <w:b w:val="0"/>
          <w:color w:val="auto"/>
          <w:kern w:val="2"/>
          <w:sz w:val="32"/>
          <w:szCs w:val="32"/>
          <w:highlight w:val="none"/>
          <w:lang w:val="en-US" w:eastAsia="zh-CN" w:bidi="ar-SA"/>
        </w:rPr>
        <w:t>管好用好机构编制这个政治资源、执政资源，持续巩固深化党政机构改革成果，不断优化完善机构编制资源配置，积极推进机构编制实名管理、机构编制信息化等工作，</w:t>
      </w:r>
      <w:bookmarkEnd w:id="29"/>
      <w:r>
        <w:rPr>
          <w:rFonts w:hint="eastAsia" w:cs="仿宋_GB2312"/>
          <w:b w:val="0"/>
          <w:color w:val="auto"/>
          <w:kern w:val="2"/>
          <w:sz w:val="32"/>
          <w:szCs w:val="32"/>
          <w:highlight w:val="none"/>
          <w:lang w:val="en-US" w:eastAsia="zh-CN" w:bidi="ar-SA"/>
        </w:rPr>
        <w:t>在推进全省经济社会发展中，提供了体制机制和机构编制保障。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eastAsia="楷体"/>
          <w:b w:val="0"/>
          <w:bCs/>
          <w:color w:val="auto"/>
          <w:sz w:val="32"/>
          <w:szCs w:val="32"/>
          <w:highlight w:val="none"/>
          <w:lang w:eastAsia="zh-CN"/>
        </w:rPr>
      </w:pPr>
      <w:bookmarkStart w:id="30" w:name="_Toc4573"/>
      <w:bookmarkStart w:id="31" w:name="_Toc21230"/>
      <w:r>
        <w:rPr>
          <w:rFonts w:hint="eastAsia" w:ascii="楷体_GB2312" w:hAnsi="楷体_GB2312" w:eastAsia="楷体_GB2312" w:cs="楷体_GB2312"/>
          <w:b w:val="0"/>
          <w:bCs/>
          <w:color w:val="auto"/>
          <w:sz w:val="32"/>
          <w:szCs w:val="32"/>
          <w:highlight w:val="none"/>
          <w:lang w:eastAsia="zh-CN"/>
        </w:rPr>
        <w:fldChar w:fldCharType="begin"/>
      </w:r>
      <w:r>
        <w:rPr>
          <w:rFonts w:hint="eastAsia" w:ascii="楷体_GB2312" w:hAnsi="楷体_GB2312" w:eastAsia="楷体_GB2312" w:cs="楷体_GB2312"/>
          <w:b w:val="0"/>
          <w:bCs/>
          <w:color w:val="auto"/>
          <w:sz w:val="32"/>
          <w:szCs w:val="32"/>
          <w:highlight w:val="none"/>
          <w:lang w:eastAsia="zh-CN"/>
        </w:rPr>
        <w:instrText xml:space="preserve"> HYPERLINK \l _Toc7405 </w:instrText>
      </w:r>
      <w:r>
        <w:rPr>
          <w:rFonts w:hint="eastAsia" w:ascii="楷体_GB2312" w:hAnsi="楷体_GB2312" w:eastAsia="楷体_GB2312" w:cs="楷体_GB2312"/>
          <w:b w:val="0"/>
          <w:bCs/>
          <w:color w:val="auto"/>
          <w:sz w:val="32"/>
          <w:szCs w:val="32"/>
          <w:highlight w:val="none"/>
          <w:lang w:eastAsia="zh-CN"/>
        </w:rPr>
        <w:fldChar w:fldCharType="separate"/>
      </w:r>
      <w:r>
        <w:rPr>
          <w:rFonts w:hint="eastAsia" w:ascii="楷体_GB2312" w:hAnsi="楷体_GB2312" w:eastAsia="楷体_GB2312" w:cs="楷体_GB2312"/>
          <w:b w:val="0"/>
          <w:bCs/>
          <w:color w:val="auto"/>
          <w:sz w:val="32"/>
          <w:szCs w:val="32"/>
          <w:highlight w:val="none"/>
          <w:lang w:eastAsia="zh-CN"/>
        </w:rPr>
        <w:t>（二）项目预</w:t>
      </w:r>
      <w:r>
        <w:rPr>
          <w:rFonts w:hint="eastAsia" w:ascii="楷体_GB2312" w:hAnsi="楷体_GB2312" w:eastAsia="楷体_GB2312" w:cs="楷体_GB2312"/>
          <w:b w:val="0"/>
          <w:bCs/>
          <w:color w:val="auto"/>
          <w:sz w:val="32"/>
          <w:szCs w:val="32"/>
          <w:highlight w:val="none"/>
          <w:lang w:eastAsia="zh-CN"/>
        </w:rPr>
        <w:fldChar w:fldCharType="end"/>
      </w:r>
      <w:r>
        <w:rPr>
          <w:rFonts w:hint="eastAsia" w:ascii="楷体_GB2312" w:hAnsi="楷体_GB2312" w:eastAsia="楷体_GB2312" w:cs="楷体_GB2312"/>
          <w:b w:val="0"/>
          <w:bCs/>
          <w:color w:val="auto"/>
          <w:sz w:val="32"/>
          <w:szCs w:val="32"/>
          <w:highlight w:val="none"/>
          <w:lang w:eastAsia="zh-CN"/>
        </w:rPr>
        <w:t>算安排及使用情况</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cs="仿宋_GB2312"/>
          <w:b w:val="0"/>
          <w:color w:val="auto"/>
          <w:kern w:val="2"/>
          <w:sz w:val="32"/>
          <w:szCs w:val="32"/>
          <w:highlight w:val="none"/>
          <w:lang w:val="en-US" w:eastAsia="zh-CN" w:bidi="ar-SA"/>
        </w:rPr>
        <w:t>省委编办</w:t>
      </w:r>
      <w:r>
        <w:rPr>
          <w:rFonts w:hint="eastAsia" w:ascii="仿宋_GB2312" w:hAnsi="仿宋_GB2312" w:eastAsia="仿宋_GB2312" w:cs="仿宋_GB2312"/>
          <w:b w:val="0"/>
          <w:color w:val="auto"/>
          <w:kern w:val="2"/>
          <w:sz w:val="32"/>
          <w:szCs w:val="32"/>
          <w:highlight w:val="none"/>
          <w:lang w:val="en-US" w:eastAsia="zh-CN" w:bidi="ar-SA"/>
        </w:rPr>
        <w:t>202</w:t>
      </w:r>
      <w:r>
        <w:rPr>
          <w:rFonts w:hint="eastAsia" w:cs="仿宋_GB2312"/>
          <w:b w:val="0"/>
          <w:color w:val="auto"/>
          <w:kern w:val="2"/>
          <w:sz w:val="32"/>
          <w:szCs w:val="32"/>
          <w:highlight w:val="none"/>
          <w:lang w:val="en-US" w:eastAsia="zh-CN" w:bidi="ar-SA"/>
        </w:rPr>
        <w:t>1</w:t>
      </w:r>
      <w:r>
        <w:rPr>
          <w:rFonts w:hint="eastAsia" w:ascii="仿宋_GB2312" w:hAnsi="仿宋_GB2312" w:eastAsia="仿宋_GB2312" w:cs="仿宋_GB2312"/>
          <w:b w:val="0"/>
          <w:color w:val="auto"/>
          <w:kern w:val="2"/>
          <w:sz w:val="32"/>
          <w:szCs w:val="32"/>
          <w:highlight w:val="none"/>
          <w:lang w:val="en-US" w:eastAsia="zh-CN" w:bidi="ar-SA"/>
        </w:rPr>
        <w:t>年</w:t>
      </w:r>
      <w:r>
        <w:rPr>
          <w:rFonts w:hint="eastAsia" w:cs="仿宋_GB2312"/>
          <w:b w:val="0"/>
          <w:color w:val="auto"/>
          <w:kern w:val="2"/>
          <w:sz w:val="32"/>
          <w:szCs w:val="32"/>
          <w:highlight w:val="none"/>
          <w:lang w:val="en-US" w:eastAsia="zh-CN" w:bidi="ar-SA"/>
        </w:rPr>
        <w:t>业务</w:t>
      </w:r>
      <w:r>
        <w:rPr>
          <w:rFonts w:hint="eastAsia" w:ascii="仿宋_GB2312" w:hAnsi="仿宋_GB2312" w:eastAsia="仿宋_GB2312" w:cs="仿宋_GB2312"/>
          <w:b w:val="0"/>
          <w:color w:val="auto"/>
          <w:kern w:val="2"/>
          <w:sz w:val="32"/>
          <w:szCs w:val="32"/>
          <w:highlight w:val="none"/>
          <w:lang w:val="en-US" w:eastAsia="zh-CN" w:bidi="ar-SA"/>
        </w:rPr>
        <w:t>费</w:t>
      </w:r>
      <w:r>
        <w:rPr>
          <w:rFonts w:hint="eastAsia" w:cs="仿宋_GB2312"/>
          <w:b w:val="0"/>
          <w:color w:val="auto"/>
          <w:kern w:val="2"/>
          <w:sz w:val="32"/>
          <w:szCs w:val="32"/>
          <w:highlight w:val="none"/>
          <w:lang w:val="en-US" w:eastAsia="zh-CN" w:bidi="ar-SA"/>
        </w:rPr>
        <w:t>项目</w:t>
      </w:r>
      <w:r>
        <w:rPr>
          <w:rFonts w:hint="eastAsia" w:ascii="仿宋_GB2312" w:hAnsi="仿宋_GB2312" w:eastAsia="仿宋_GB2312" w:cs="仿宋_GB2312"/>
          <w:b w:val="0"/>
          <w:color w:val="auto"/>
          <w:kern w:val="2"/>
          <w:sz w:val="32"/>
          <w:szCs w:val="32"/>
          <w:highlight w:val="none"/>
          <w:lang w:val="en-US" w:eastAsia="zh-CN" w:bidi="ar-SA"/>
        </w:rPr>
        <w:t>年度申请预算</w:t>
      </w:r>
      <w:r>
        <w:rPr>
          <w:rFonts w:hint="eastAsia" w:cs="仿宋_GB2312"/>
          <w:b w:val="0"/>
          <w:color w:val="auto"/>
          <w:kern w:val="2"/>
          <w:sz w:val="32"/>
          <w:szCs w:val="32"/>
          <w:highlight w:val="none"/>
          <w:lang w:val="en-US" w:eastAsia="zh-CN" w:bidi="ar-SA"/>
        </w:rPr>
        <w:t>320</w:t>
      </w:r>
      <w:r>
        <w:rPr>
          <w:rFonts w:hint="eastAsia" w:ascii="仿宋_GB2312" w:hAnsi="仿宋_GB2312" w:eastAsia="仿宋_GB2312" w:cs="仿宋_GB2312"/>
          <w:b w:val="0"/>
          <w:color w:val="auto"/>
          <w:kern w:val="2"/>
          <w:sz w:val="32"/>
          <w:szCs w:val="32"/>
          <w:highlight w:val="none"/>
          <w:lang w:val="en-US" w:eastAsia="zh-CN" w:bidi="ar-SA"/>
        </w:rPr>
        <w:t>万元，实际到位</w:t>
      </w:r>
      <w:r>
        <w:rPr>
          <w:rFonts w:hint="eastAsia" w:cs="仿宋_GB2312"/>
          <w:b w:val="0"/>
          <w:color w:val="auto"/>
          <w:kern w:val="2"/>
          <w:sz w:val="32"/>
          <w:szCs w:val="32"/>
          <w:highlight w:val="none"/>
          <w:lang w:val="en-US" w:eastAsia="zh-CN" w:bidi="ar-SA"/>
        </w:rPr>
        <w:t>320</w:t>
      </w:r>
      <w:r>
        <w:rPr>
          <w:rFonts w:hint="eastAsia" w:ascii="仿宋_GB2312" w:hAnsi="仿宋_GB2312" w:eastAsia="仿宋_GB2312" w:cs="仿宋_GB2312"/>
          <w:b w:val="0"/>
          <w:color w:val="auto"/>
          <w:kern w:val="2"/>
          <w:sz w:val="32"/>
          <w:szCs w:val="32"/>
          <w:highlight w:val="none"/>
          <w:lang w:val="en-US" w:eastAsia="zh-CN" w:bidi="ar-SA"/>
        </w:rPr>
        <w:t>万元，</w:t>
      </w:r>
      <w:r>
        <w:rPr>
          <w:rFonts w:hint="eastAsia" w:cs="仿宋_GB2312"/>
          <w:b w:val="0"/>
          <w:color w:val="auto"/>
          <w:kern w:val="2"/>
          <w:sz w:val="32"/>
          <w:szCs w:val="32"/>
          <w:highlight w:val="none"/>
          <w:lang w:val="en-US" w:eastAsia="zh-CN" w:bidi="ar-SA"/>
        </w:rPr>
        <w:t>截至2021年12月31日，项目资金</w:t>
      </w:r>
      <w:r>
        <w:rPr>
          <w:rFonts w:hint="eastAsia" w:ascii="仿宋_GB2312" w:hAnsi="仿宋_GB2312" w:eastAsia="仿宋_GB2312" w:cs="仿宋_GB2312"/>
          <w:b w:val="0"/>
          <w:color w:val="auto"/>
          <w:kern w:val="2"/>
          <w:sz w:val="32"/>
          <w:szCs w:val="32"/>
          <w:highlight w:val="none"/>
          <w:lang w:val="en-US" w:eastAsia="zh-CN" w:bidi="ar-SA"/>
        </w:rPr>
        <w:t>支出</w:t>
      </w:r>
      <w:r>
        <w:rPr>
          <w:rFonts w:hint="eastAsia" w:cs="仿宋_GB2312"/>
          <w:b w:val="0"/>
          <w:color w:val="auto"/>
          <w:kern w:val="2"/>
          <w:sz w:val="32"/>
          <w:szCs w:val="32"/>
          <w:highlight w:val="none"/>
          <w:lang w:val="en-US" w:eastAsia="zh-CN" w:bidi="ar-SA"/>
        </w:rPr>
        <w:t>245.77</w:t>
      </w:r>
      <w:r>
        <w:rPr>
          <w:rFonts w:hint="eastAsia" w:ascii="仿宋_GB2312" w:hAnsi="仿宋_GB2312" w:eastAsia="仿宋_GB2312" w:cs="仿宋_GB2312"/>
          <w:b w:val="0"/>
          <w:color w:val="auto"/>
          <w:kern w:val="2"/>
          <w:sz w:val="32"/>
          <w:szCs w:val="32"/>
          <w:highlight w:val="none"/>
          <w:lang w:val="en-US" w:eastAsia="zh-CN" w:bidi="ar-SA"/>
        </w:rPr>
        <w:t>万元，资金支出率为</w:t>
      </w:r>
      <w:r>
        <w:rPr>
          <w:rFonts w:hint="eastAsia" w:cs="仿宋_GB2312"/>
          <w:b w:val="0"/>
          <w:color w:val="auto"/>
          <w:kern w:val="2"/>
          <w:sz w:val="32"/>
          <w:szCs w:val="32"/>
          <w:highlight w:val="none"/>
          <w:lang w:val="en-US" w:eastAsia="zh-CN" w:bidi="ar-SA"/>
        </w:rPr>
        <w:t>76.8</w:t>
      </w:r>
      <w:r>
        <w:rPr>
          <w:rFonts w:hint="eastAsia" w:ascii="仿宋_GB2312" w:hAnsi="仿宋_GB2312" w:eastAsia="仿宋_GB2312" w:cs="仿宋_GB2312"/>
          <w:b w:val="0"/>
          <w:color w:val="auto"/>
          <w:kern w:val="2"/>
          <w:sz w:val="32"/>
          <w:szCs w:val="32"/>
          <w:highlight w:val="none"/>
          <w:lang w:val="en-US" w:eastAsia="zh-CN" w:bidi="ar-SA"/>
        </w:rPr>
        <w:t>%</w:t>
      </w:r>
      <w:r>
        <w:rPr>
          <w:rFonts w:hint="eastAsia" w:cs="仿宋_GB2312"/>
          <w:b w:val="0"/>
          <w:color w:val="auto"/>
          <w:kern w:val="2"/>
          <w:sz w:val="32"/>
          <w:szCs w:val="32"/>
          <w:highlight w:val="none"/>
          <w:lang w:val="en-US" w:eastAsia="zh-CN" w:bidi="ar-SA"/>
        </w:rPr>
        <w:t>，资金主要用于机构改革、机构编制日常运行保障及机构编制实名制管理系统升级改造</w:t>
      </w:r>
      <w:r>
        <w:rPr>
          <w:rFonts w:hint="eastAsia" w:ascii="仿宋_GB2312" w:hAnsi="仿宋_GB2312" w:eastAsia="仿宋_GB2312" w:cs="仿宋_GB2312"/>
          <w:b w:val="0"/>
          <w:color w:val="auto"/>
          <w:kern w:val="2"/>
          <w:sz w:val="32"/>
          <w:szCs w:val="32"/>
          <w:highlight w:val="none"/>
          <w:lang w:val="en-US" w:eastAsia="zh-CN" w:bidi="ar-SA"/>
        </w:rPr>
        <w:t>。具体支出明细如下：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表1 省委编办2021年业务费项目资金支出明细表</w:t>
      </w:r>
    </w:p>
    <w:p>
      <w:pPr>
        <w:bidi w:val="0"/>
        <w:rPr>
          <w:rFonts w:hint="eastAsia" w:ascii="宋体" w:hAnsi="宋体" w:eastAsia="宋体" w:cs="宋体"/>
          <w:b/>
          <w:bCs w:val="0"/>
          <w:color w:val="auto"/>
          <w:sz w:val="28"/>
          <w:szCs w:val="28"/>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val="0"/>
          <w:color w:val="auto"/>
          <w:sz w:val="28"/>
          <w:szCs w:val="28"/>
          <w:highlight w:val="none"/>
          <w:lang w:val="en-US" w:eastAsia="zh-CN"/>
        </w:rPr>
        <w:t xml:space="preserve">       单位：万元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309"/>
        <w:gridCol w:w="1696"/>
        <w:gridCol w:w="1995"/>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序号</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支出项目</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预算经费</w:t>
            </w:r>
          </w:p>
        </w:tc>
        <w:tc>
          <w:tcPr>
            <w:tcW w:w="202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实际到位经费</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支出经费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办公费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155.00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155.00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印刷费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26.00</w:t>
            </w:r>
          </w:p>
        </w:tc>
        <w:tc>
          <w:tcPr>
            <w:tcW w:w="2024" w:type="dxa"/>
            <w:vAlign w:val="center"/>
          </w:tcPr>
          <w:p>
            <w:pPr>
              <w:keepNext w:val="0"/>
              <w:keepLines w:val="0"/>
              <w:pageBreakBefore w:val="0"/>
              <w:widowControl/>
              <w:suppressLineNumbers w:val="0"/>
              <w:tabs>
                <w:tab w:val="left" w:pos="785"/>
                <w:tab w:val="center" w:pos="1204"/>
              </w:tabs>
              <w:kinsoku/>
              <w:wordWrap/>
              <w:overflowPunct/>
              <w:topLinePunct w:val="0"/>
              <w:autoSpaceDE/>
              <w:autoSpaceDN/>
              <w:bidi w:val="0"/>
              <w:adjustRightInd/>
              <w:snapToGrid/>
              <w:spacing w:line="600" w:lineRule="exact"/>
              <w:ind w:firstLine="560" w:firstLineChars="200"/>
              <w:jc w:val="left"/>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26.00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3</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电费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15.00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15.00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4</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取暖费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差旅费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6</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租赁费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10.00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7</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会议费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11.00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11.00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8</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培训费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14.00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14.00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9</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公务接待费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3.00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3.00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10</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委托业务费</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35.00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35.00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11</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办公设备购置</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6.00</w:t>
            </w:r>
          </w:p>
        </w:tc>
        <w:tc>
          <w:tcPr>
            <w:tcW w:w="2024"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6.00</w:t>
            </w:r>
          </w:p>
        </w:tc>
        <w:tc>
          <w:tcPr>
            <w:tcW w:w="1576" w:type="dxa"/>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12</w:t>
            </w:r>
          </w:p>
        </w:tc>
        <w:tc>
          <w:tcPr>
            <w:tcW w:w="24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信息网络及软件购置更新</w:t>
            </w:r>
          </w:p>
        </w:tc>
        <w:tc>
          <w:tcPr>
            <w:tcW w:w="157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25.00</w:t>
            </w:r>
          </w:p>
        </w:tc>
        <w:tc>
          <w:tcPr>
            <w:tcW w:w="2024"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25.00</w:t>
            </w:r>
          </w:p>
        </w:tc>
        <w:tc>
          <w:tcPr>
            <w:tcW w:w="157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i w:val="0"/>
                <w:iCs w:val="0"/>
                <w:color w:val="000000"/>
                <w:kern w:val="0"/>
                <w:sz w:val="28"/>
                <w:szCs w:val="28"/>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3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合计</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320</w:t>
            </w:r>
          </w:p>
        </w:tc>
        <w:tc>
          <w:tcPr>
            <w:tcW w:w="2024"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320</w:t>
            </w:r>
          </w:p>
        </w:tc>
        <w:tc>
          <w:tcPr>
            <w:tcW w:w="157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245.77</w:t>
            </w:r>
          </w:p>
        </w:tc>
      </w:tr>
    </w:tbl>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1"/>
        <w:rPr>
          <w:rFonts w:hint="eastAsia" w:ascii="楷体_GB2312" w:hAnsi="楷体_GB2312" w:eastAsia="楷体_GB2312" w:cs="楷体_GB2312"/>
          <w:b w:val="0"/>
          <w:bCs/>
          <w:color w:val="auto"/>
          <w:highlight w:val="none"/>
          <w:lang w:eastAsia="zh-CN"/>
        </w:rPr>
      </w:pPr>
      <w:bookmarkStart w:id="32" w:name="_Toc10439"/>
      <w:bookmarkStart w:id="33" w:name="_Toc11527"/>
      <w:r>
        <w:rPr>
          <w:rFonts w:hint="eastAsia" w:ascii="楷体_GB2312" w:hAnsi="楷体_GB2312" w:eastAsia="楷体_GB2312" w:cs="楷体_GB2312"/>
          <w:b w:val="0"/>
          <w:bCs/>
          <w:color w:val="auto"/>
          <w:highlight w:val="none"/>
          <w:lang w:eastAsia="zh-CN"/>
        </w:rPr>
        <w:t>（三）项目计划内容及实施情况</w:t>
      </w:r>
      <w:bookmarkEnd w:id="32"/>
      <w:bookmarkEnd w:id="3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pPr>
      <w:r>
        <w:rPr>
          <w:rFonts w:hint="eastAsia" w:cs="仿宋_GB2312"/>
          <w:b w:val="0"/>
          <w:color w:val="auto"/>
          <w:kern w:val="2"/>
          <w:sz w:val="32"/>
          <w:szCs w:val="32"/>
          <w:highlight w:val="none"/>
          <w:lang w:val="en-US" w:eastAsia="zh-CN" w:bidi="ar-SA"/>
        </w:rPr>
        <w:t>省委编办</w:t>
      </w:r>
      <w:r>
        <w:rPr>
          <w:rFonts w:hint="eastAsia" w:ascii="仿宋_GB2312" w:hAnsi="仿宋_GB2312" w:eastAsia="仿宋_GB2312" w:cs="仿宋_GB2312"/>
          <w:b w:val="0"/>
          <w:color w:val="auto"/>
          <w:kern w:val="2"/>
          <w:sz w:val="32"/>
          <w:szCs w:val="32"/>
          <w:highlight w:val="none"/>
          <w:lang w:val="en-US" w:eastAsia="zh-CN" w:bidi="ar-SA"/>
        </w:rPr>
        <w:t>202</w:t>
      </w:r>
      <w:r>
        <w:rPr>
          <w:rFonts w:hint="eastAsia" w:cs="仿宋_GB2312"/>
          <w:b w:val="0"/>
          <w:color w:val="auto"/>
          <w:kern w:val="2"/>
          <w:sz w:val="32"/>
          <w:szCs w:val="32"/>
          <w:highlight w:val="none"/>
          <w:lang w:val="en-US" w:eastAsia="zh-CN" w:bidi="ar-SA"/>
        </w:rPr>
        <w:t>1</w:t>
      </w:r>
      <w:r>
        <w:rPr>
          <w:rFonts w:hint="eastAsia" w:ascii="仿宋_GB2312" w:hAnsi="仿宋_GB2312" w:eastAsia="仿宋_GB2312" w:cs="仿宋_GB2312"/>
          <w:b w:val="0"/>
          <w:color w:val="auto"/>
          <w:kern w:val="2"/>
          <w:sz w:val="32"/>
          <w:szCs w:val="32"/>
          <w:highlight w:val="none"/>
          <w:lang w:val="en-US" w:eastAsia="zh-CN" w:bidi="ar-SA"/>
        </w:rPr>
        <w:t>年</w:t>
      </w:r>
      <w:r>
        <w:rPr>
          <w:rFonts w:hint="eastAsia" w:cs="仿宋_GB2312"/>
          <w:b w:val="0"/>
          <w:color w:val="auto"/>
          <w:kern w:val="2"/>
          <w:sz w:val="32"/>
          <w:szCs w:val="32"/>
          <w:highlight w:val="none"/>
          <w:lang w:val="en-US" w:eastAsia="zh-CN" w:bidi="ar-SA"/>
        </w:rPr>
        <w:t>业务</w:t>
      </w:r>
      <w:r>
        <w:rPr>
          <w:rFonts w:hint="eastAsia" w:ascii="仿宋_GB2312" w:hAnsi="仿宋_GB2312" w:eastAsia="仿宋_GB2312" w:cs="仿宋_GB2312"/>
          <w:b w:val="0"/>
          <w:color w:val="auto"/>
          <w:kern w:val="2"/>
          <w:sz w:val="32"/>
          <w:szCs w:val="32"/>
          <w:highlight w:val="none"/>
          <w:lang w:val="en-US" w:eastAsia="zh-CN" w:bidi="ar-SA"/>
        </w:rPr>
        <w:t>费</w:t>
      </w:r>
      <w:r>
        <w:rPr>
          <w:rFonts w:hint="eastAsia" w:cs="仿宋_GB2312"/>
          <w:b w:val="0"/>
          <w:color w:val="auto"/>
          <w:kern w:val="2"/>
          <w:sz w:val="32"/>
          <w:szCs w:val="32"/>
          <w:highlight w:val="none"/>
          <w:lang w:val="en-US" w:eastAsia="zh-CN" w:bidi="ar-SA"/>
        </w:rPr>
        <w:t>项目是机构改革工作的专项经费，主要用于开展机构改革、重点领域体制机制改革及实名制管理等工作，</w:t>
      </w:r>
      <w:r>
        <w:rPr>
          <w:rFonts w:hint="eastAsia" w:ascii="仿宋_GB2312" w:hAnsi="仿宋_GB2312" w:eastAsia="仿宋_GB2312" w:cs="仿宋_GB2312"/>
          <w:b w:val="0"/>
          <w:color w:val="auto"/>
          <w:kern w:val="2"/>
          <w:sz w:val="32"/>
          <w:szCs w:val="32"/>
          <w:highlight w:val="none"/>
          <w:lang w:val="en-US" w:eastAsia="zh-CN" w:bidi="ar-SA"/>
        </w:rPr>
        <w:t>旨在</w:t>
      </w:r>
      <w:r>
        <w:rPr>
          <w:rFonts w:hint="eastAsia" w:cs="仿宋_GB2312"/>
          <w:b w:val="0"/>
          <w:color w:val="auto"/>
          <w:kern w:val="2"/>
          <w:sz w:val="32"/>
          <w:szCs w:val="32"/>
          <w:highlight w:val="none"/>
          <w:lang w:val="en-US" w:eastAsia="zh-CN" w:bidi="ar-SA"/>
        </w:rPr>
        <w:t>保障机构改革、机构编制管理工作的日常运行和机构编制实名制管理系统的升级改造。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202</w:t>
      </w:r>
      <w:r>
        <w:rPr>
          <w:rFonts w:hint="eastAsia" w:cs="仿宋_GB2312"/>
          <w:b w:val="0"/>
          <w:color w:val="auto"/>
          <w:kern w:val="2"/>
          <w:sz w:val="32"/>
          <w:szCs w:val="32"/>
          <w:highlight w:val="none"/>
          <w:lang w:val="en-US" w:eastAsia="zh-CN" w:bidi="ar-SA"/>
        </w:rPr>
        <w:t>1</w:t>
      </w:r>
      <w:r>
        <w:rPr>
          <w:rFonts w:hint="eastAsia" w:ascii="仿宋_GB2312" w:hAnsi="仿宋_GB2312" w:eastAsia="仿宋_GB2312" w:cs="仿宋_GB2312"/>
          <w:b w:val="0"/>
          <w:color w:val="auto"/>
          <w:kern w:val="2"/>
          <w:sz w:val="32"/>
          <w:szCs w:val="32"/>
          <w:highlight w:val="none"/>
          <w:lang w:val="en-US" w:eastAsia="zh-CN" w:bidi="ar-SA"/>
        </w:rPr>
        <w:t>年，</w:t>
      </w:r>
      <w:r>
        <w:rPr>
          <w:rFonts w:hint="eastAsia" w:cs="仿宋_GB2312"/>
          <w:b w:val="0"/>
          <w:color w:val="auto"/>
          <w:kern w:val="2"/>
          <w:sz w:val="32"/>
          <w:szCs w:val="32"/>
          <w:highlight w:val="none"/>
          <w:lang w:val="en-US" w:eastAsia="zh-CN" w:bidi="ar-SA"/>
        </w:rPr>
        <w:t>省委编办紧紧围绕省委、省政府中心工作，以推进机构编制工作科学化、规范化、法定化为目标，持续巩固深化党政机构改革成果，统筹优化编制资源配置，通过考察调研、会议培训、部门督查等方式，稳步推进扶贫、大数据等重点领域体制机制改革，持续深化基层管理体制改革和经营类事业单位改革，配合推进应急管理综合行政执法改革。同时，通过对机构编制实名制管理系统的升级改造，使该系统达到了“事项简、流程优、材料减、时间压、次数少”的总体目标，进一步提升了机构编制管理效率和服务水平，各项工作取得新成效。</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34" w:name="_Toc11016"/>
      <w:bookmarkStart w:id="35" w:name="_Toc28940"/>
      <w:bookmarkStart w:id="36" w:name="_Toc10783"/>
      <w:r>
        <w:rPr>
          <w:rFonts w:hint="eastAsia" w:ascii="黑体" w:hAnsi="黑体" w:eastAsia="黑体" w:cs="黑体"/>
          <w:b w:val="0"/>
          <w:bCs w:val="0"/>
          <w:color w:val="auto"/>
          <w:sz w:val="32"/>
          <w:szCs w:val="32"/>
          <w:highlight w:val="none"/>
          <w:lang w:val="en-US" w:eastAsia="zh-CN"/>
        </w:rPr>
        <w:t>二、项目绩效目标</w:t>
      </w:r>
      <w:bookmarkEnd w:id="34"/>
      <w:bookmarkEnd w:id="35"/>
      <w:bookmarkEnd w:id="36"/>
    </w:p>
    <w:p>
      <w:pPr>
        <w:pStyle w:val="4"/>
        <w:keepNext w:val="0"/>
        <w:keepLines w:val="0"/>
        <w:pageBreakBefore w:val="0"/>
        <w:widowControl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kern w:val="2"/>
          <w:sz w:val="32"/>
          <w:szCs w:val="24"/>
          <w:highlight w:val="none"/>
          <w:lang w:val="en-US" w:eastAsia="zh-CN" w:bidi="ar-SA"/>
        </w:rPr>
      </w:pPr>
      <w:bookmarkStart w:id="37" w:name="_Toc29624"/>
      <w:bookmarkStart w:id="38" w:name="_Toc27743"/>
      <w:r>
        <w:rPr>
          <w:rFonts w:hint="eastAsia" w:ascii="楷体_GB2312" w:hAnsi="楷体_GB2312" w:eastAsia="楷体_GB2312" w:cs="楷体_GB2312"/>
          <w:b w:val="0"/>
          <w:bCs/>
          <w:color w:val="auto"/>
          <w:kern w:val="2"/>
          <w:sz w:val="32"/>
          <w:szCs w:val="24"/>
          <w:highlight w:val="none"/>
          <w:lang w:val="en-US" w:eastAsia="zh-CN" w:bidi="ar-SA"/>
        </w:rPr>
        <w:t>（一）项目总目标</w:t>
      </w:r>
      <w:bookmarkEnd w:id="37"/>
      <w:bookmarkEnd w:id="3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围绕推进国家治理体系和治理能力现代化，进一步健全党的全面领导的制度安排，以“三定”工作为抓手完善党和国家机构职能体系，统筹推进各领域机构和体制机制改革，积极深化事业单位改革，严控机构编制总量，统筹用好各类机构编制资源，加强机构编辑实名制管理，完善机构编制法规制度体系，抓好机构编制法规制度执行，加强机构编制监督检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kern w:val="2"/>
          <w:sz w:val="32"/>
          <w:szCs w:val="24"/>
          <w:highlight w:val="none"/>
          <w:lang w:val="en-US" w:eastAsia="zh-CN" w:bidi="ar-SA"/>
        </w:rPr>
      </w:pPr>
      <w:bookmarkStart w:id="39" w:name="_Toc9722"/>
      <w:bookmarkStart w:id="40" w:name="_Toc32250"/>
      <w:r>
        <w:rPr>
          <w:rFonts w:hint="eastAsia" w:ascii="楷体_GB2312" w:hAnsi="楷体_GB2312" w:eastAsia="楷体_GB2312" w:cs="楷体_GB2312"/>
          <w:b w:val="0"/>
          <w:bCs/>
          <w:color w:val="auto"/>
          <w:kern w:val="2"/>
          <w:sz w:val="32"/>
          <w:szCs w:val="24"/>
          <w:highlight w:val="none"/>
          <w:lang w:val="en-US" w:eastAsia="zh-CN" w:bidi="ar-SA"/>
        </w:rPr>
        <w:t>（二）2021年度绩效目标</w:t>
      </w:r>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 w:val="0"/>
          <w:color w:val="auto"/>
          <w:kern w:val="2"/>
          <w:sz w:val="32"/>
          <w:szCs w:val="32"/>
          <w:highlight w:val="none"/>
          <w:lang w:val="en-US" w:eastAsia="zh-CN" w:bidi="ar-SA"/>
        </w:rPr>
      </w:pPr>
      <w:bookmarkStart w:id="41" w:name="_Toc28951"/>
      <w:r>
        <w:rPr>
          <w:rFonts w:hint="eastAsia" w:ascii="仿宋_GB2312" w:hAnsi="仿宋_GB2312" w:eastAsia="仿宋_GB2312" w:cs="仿宋_GB2312"/>
          <w:b w:val="0"/>
          <w:color w:val="auto"/>
          <w:kern w:val="2"/>
          <w:sz w:val="32"/>
          <w:szCs w:val="32"/>
          <w:highlight w:val="none"/>
          <w:lang w:val="en-US" w:eastAsia="zh-CN" w:bidi="ar-SA"/>
        </w:rPr>
        <w:t>1.</w:t>
      </w:r>
      <w:r>
        <w:rPr>
          <w:rFonts w:hint="eastAsia" w:cs="仿宋_GB2312"/>
          <w:b w:val="0"/>
          <w:color w:val="auto"/>
          <w:kern w:val="2"/>
          <w:sz w:val="32"/>
          <w:szCs w:val="32"/>
          <w:highlight w:val="none"/>
          <w:lang w:val="en-US" w:eastAsia="zh-CN" w:bidi="ar-SA"/>
        </w:rPr>
        <w:t>巩固深化机构改革成果，进一步健全完善党集中统一领导重大工作的议事协调机制，理顺设在教育、司法、农村农业、审计等部门的办事机构与所在部门之间的关系。以“三定”工作为抓手，完善党和国家机构职能体系，对相关单位和市县“三定”规定落实情况进行跟踪了解，开展调研和评估。做好省级政府工作部门权责清单动态调整，指导市县推动权责清单规范化。全面清理规范开发区管理机构，组织开展专项检查。完善国家公园管理体制机制，配合拟定大熊猫国家公园、祁连山国家公园机构设置方案。积极深化事业单位改革，配合完善疾病预防控制体制机制，配合教育、科技、文化、卫生等部门深入推进行业体制改革。推进事业单位法人公示信息“双随机”抽查，完善基本信息共享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 w:val="0"/>
          <w:color w:val="auto"/>
          <w:kern w:val="2"/>
          <w:sz w:val="32"/>
          <w:szCs w:val="32"/>
          <w:highlight w:val="none"/>
          <w:lang w:val="en-US" w:eastAsia="zh-CN" w:bidi="ar-SA"/>
        </w:rPr>
      </w:pPr>
      <w:r>
        <w:rPr>
          <w:rFonts w:hint="eastAsia" w:cs="仿宋_GB2312"/>
          <w:b w:val="0"/>
          <w:color w:val="auto"/>
          <w:kern w:val="2"/>
          <w:sz w:val="32"/>
          <w:szCs w:val="32"/>
          <w:highlight w:val="none"/>
          <w:lang w:val="en-US" w:eastAsia="zh-CN" w:bidi="ar-SA"/>
        </w:rPr>
        <w:t>2.坚持瘦身与健身相结合，进一步优化机构编制资源配置。严控机构编制总量，继续加大跨部门、跨地区、跨层级统筹调配力度。统筹用好各类机构编制资源，加强对科技创新、经济高质量发展、重点民生、国家安全稳定等重点领域的机构编制保障，重新核定全省中小学教职工编制，做好高层次和急需紧缺人才引进编制服务保障工作。加强机构编制实名制管理，简化优化机构编制实名制业务办理程序，完善机构编制年报统计和实名制数据审核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 w:val="0"/>
          <w:color w:val="auto"/>
          <w:kern w:val="2"/>
          <w:sz w:val="32"/>
          <w:szCs w:val="32"/>
          <w:highlight w:val="none"/>
          <w:lang w:val="en-US" w:eastAsia="zh-CN" w:bidi="ar-SA"/>
        </w:rPr>
      </w:pPr>
      <w:r>
        <w:rPr>
          <w:rFonts w:hint="eastAsia" w:cs="仿宋_GB2312"/>
          <w:b w:val="0"/>
          <w:color w:val="auto"/>
          <w:kern w:val="2"/>
          <w:sz w:val="32"/>
          <w:szCs w:val="32"/>
          <w:highlight w:val="none"/>
          <w:lang w:val="en-US" w:eastAsia="zh-CN" w:bidi="ar-SA"/>
        </w:rPr>
        <w:t>3.完善机构编制法规制度体系，研究制定我省机构编制法规制度体系建设工作计划和具体措施，出台《中共甘肃省委机构编制管理规定》。对省级层面机构编制法规制度、规范性文件和标准进行评估清理。做好机构编制事项请示报告工作，重大事项按程序请示省委编委。严格执行机构编制动议、论证、审议决定、组织实施有关规定，严格执行机构编制审批、统一领导分级管理等制度。加强机构编制监督检查，开展机构编制条条干预问题自查自纠。做好信访举报、网络舆情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cs="仿宋_GB2312"/>
          <w:b w:val="0"/>
          <w:color w:val="auto"/>
          <w:kern w:val="2"/>
          <w:sz w:val="32"/>
          <w:szCs w:val="32"/>
          <w:highlight w:val="none"/>
          <w:lang w:val="en-US" w:eastAsia="zh-CN" w:bidi="ar-SA"/>
        </w:rPr>
        <w:t>4.完成机构编制实名制管理系统的升级改造，机构编制实名制管理覆盖率达100%。做好网站、机构编制实名制管理平台的运营维护，及时缴纳机房运行电费，确保网站、系统的正常运营和机构改革工作的顺利开展。系统正常运行率达100%，维修（护）质量达标率达100%。</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42" w:name="_Toc12611"/>
      <w:bookmarkStart w:id="43" w:name="_Toc14285"/>
      <w:bookmarkStart w:id="44" w:name="_Toc31282"/>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_Toc8441 </w:instrText>
      </w:r>
      <w:r>
        <w:rPr>
          <w:rFonts w:hint="eastAsia" w:ascii="黑体" w:hAnsi="黑体" w:eastAsia="黑体" w:cs="黑体"/>
          <w:b w:val="0"/>
          <w:bCs w:val="0"/>
          <w:color w:val="auto"/>
          <w:sz w:val="32"/>
          <w:szCs w:val="32"/>
          <w:highlight w:val="none"/>
          <w:lang w:val="en-US" w:eastAsia="zh-CN"/>
        </w:rPr>
        <w:fldChar w:fldCharType="separate"/>
      </w:r>
      <w:r>
        <w:rPr>
          <w:rFonts w:hint="eastAsia"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lang w:val="en-US" w:eastAsia="zh-CN"/>
        </w:rPr>
        <w:t>、评价</w:t>
      </w:r>
      <w:r>
        <w:rPr>
          <w:rFonts w:hint="eastAsia" w:cs="黑体"/>
          <w:b w:val="0"/>
          <w:bCs w:val="0"/>
          <w:color w:val="auto"/>
          <w:sz w:val="32"/>
          <w:szCs w:val="32"/>
          <w:highlight w:val="none"/>
          <w:lang w:val="en-US" w:eastAsia="zh-CN"/>
        </w:rPr>
        <w:t>基本</w:t>
      </w:r>
      <w:r>
        <w:rPr>
          <w:rFonts w:hint="eastAsia" w:ascii="黑体" w:hAnsi="黑体" w:eastAsia="黑体" w:cs="黑体"/>
          <w:b w:val="0"/>
          <w:bCs w:val="0"/>
          <w:color w:val="auto"/>
          <w:sz w:val="32"/>
          <w:szCs w:val="32"/>
          <w:highlight w:val="none"/>
          <w:lang w:val="en-US" w:eastAsia="zh-CN"/>
        </w:rPr>
        <w:t>情况</w:t>
      </w:r>
      <w:r>
        <w:rPr>
          <w:rFonts w:hint="eastAsia" w:ascii="黑体" w:hAnsi="黑体" w:eastAsia="黑体" w:cs="黑体"/>
          <w:b w:val="0"/>
          <w:bCs w:val="0"/>
          <w:color w:val="auto"/>
          <w:sz w:val="32"/>
          <w:szCs w:val="32"/>
          <w:highlight w:val="none"/>
          <w:lang w:val="en-US" w:eastAsia="zh-CN"/>
        </w:rPr>
        <w:fldChar w:fldCharType="end"/>
      </w:r>
      <w:bookmarkEnd w:id="41"/>
      <w:bookmarkEnd w:id="42"/>
      <w:bookmarkEnd w:id="43"/>
      <w:bookmarkEnd w:id="44"/>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highlight w:val="none"/>
          <w:lang w:val="en-US" w:eastAsia="zh-CN"/>
        </w:rPr>
      </w:pPr>
      <w:bookmarkStart w:id="45" w:name="_Toc31625"/>
      <w:bookmarkStart w:id="46" w:name="_Toc32319"/>
      <w:bookmarkStart w:id="47" w:name="_Toc7363"/>
      <w:r>
        <w:rPr>
          <w:rFonts w:hint="eastAsia" w:ascii="楷体_GB2312" w:hAnsi="楷体_GB2312" w:eastAsia="楷体_GB2312" w:cs="楷体_GB2312"/>
          <w:b w:val="0"/>
          <w:bCs/>
          <w:color w:val="auto"/>
          <w:highlight w:val="none"/>
          <w:lang w:val="en-US" w:eastAsia="zh-CN"/>
        </w:rPr>
        <w:fldChar w:fldCharType="begin"/>
      </w:r>
      <w:r>
        <w:rPr>
          <w:rFonts w:hint="eastAsia" w:ascii="楷体_GB2312" w:hAnsi="楷体_GB2312" w:eastAsia="楷体_GB2312" w:cs="楷体_GB2312"/>
          <w:b w:val="0"/>
          <w:bCs/>
          <w:color w:val="auto"/>
          <w:highlight w:val="none"/>
          <w:lang w:val="en-US" w:eastAsia="zh-CN"/>
        </w:rPr>
        <w:instrText xml:space="preserve"> HYPERLINK \l _Toc14927 </w:instrText>
      </w:r>
      <w:r>
        <w:rPr>
          <w:rFonts w:hint="eastAsia" w:ascii="楷体_GB2312" w:hAnsi="楷体_GB2312" w:eastAsia="楷体_GB2312" w:cs="楷体_GB2312"/>
          <w:b w:val="0"/>
          <w:bCs/>
          <w:color w:val="auto"/>
          <w:highlight w:val="none"/>
          <w:lang w:val="en-US" w:eastAsia="zh-CN"/>
        </w:rPr>
        <w:fldChar w:fldCharType="separate"/>
      </w:r>
      <w:r>
        <w:rPr>
          <w:rFonts w:hint="eastAsia" w:ascii="楷体_GB2312" w:hAnsi="楷体_GB2312" w:eastAsia="楷体_GB2312" w:cs="楷体_GB2312"/>
          <w:b w:val="0"/>
          <w:bCs/>
          <w:color w:val="auto"/>
          <w:highlight w:val="none"/>
          <w:lang w:val="en-US" w:eastAsia="zh-CN"/>
        </w:rPr>
        <w:t>（一）评价目的</w:t>
      </w:r>
      <w:bookmarkEnd w:id="45"/>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楷体_GB2312" w:hAnsi="楷体_GB2312" w:eastAsia="楷体_GB2312" w:cs="楷体_GB2312"/>
          <w:b w:val="0"/>
          <w:bCs/>
          <w:color w:val="auto"/>
          <w:highlight w:val="none"/>
          <w:lang w:val="en-US" w:eastAsia="zh-CN"/>
        </w:rPr>
        <w:fldChar w:fldCharType="end"/>
      </w:r>
      <w:r>
        <w:rPr>
          <w:rFonts w:hint="eastAsia" w:ascii="仿宋_GB2312" w:hAnsi="仿宋_GB2312" w:eastAsia="仿宋_GB2312" w:cs="仿宋_GB2312"/>
          <w:b w:val="0"/>
          <w:color w:val="auto"/>
          <w:kern w:val="2"/>
          <w:sz w:val="32"/>
          <w:szCs w:val="32"/>
          <w:highlight w:val="none"/>
          <w:lang w:val="en-US" w:eastAsia="zh-CN" w:bidi="ar-SA"/>
        </w:rPr>
        <w:t>绩效评价工作以结果为导向，采用绩效评价方法，运用量化指标从项目决策-项目管理-项目产出-项目效果四个维度</w:t>
      </w:r>
      <w:r>
        <w:rPr>
          <w:rFonts w:hint="eastAsia" w:cs="仿宋_GB2312"/>
          <w:b w:val="0"/>
          <w:color w:val="auto"/>
          <w:kern w:val="2"/>
          <w:sz w:val="32"/>
          <w:szCs w:val="32"/>
          <w:highlight w:val="none"/>
          <w:lang w:val="en-US" w:eastAsia="zh-CN" w:bidi="ar-SA"/>
        </w:rPr>
        <w:t>，</w:t>
      </w:r>
      <w:r>
        <w:rPr>
          <w:rFonts w:hint="eastAsia" w:ascii="仿宋_GB2312" w:hAnsi="仿宋_GB2312" w:eastAsia="仿宋_GB2312" w:cs="仿宋_GB2312"/>
          <w:b w:val="0"/>
          <w:color w:val="auto"/>
          <w:kern w:val="2"/>
          <w:sz w:val="32"/>
          <w:szCs w:val="32"/>
          <w:highlight w:val="none"/>
          <w:lang w:val="en-US" w:eastAsia="zh-CN" w:bidi="ar-SA"/>
        </w:rPr>
        <w:t>对</w:t>
      </w:r>
      <w:r>
        <w:rPr>
          <w:rFonts w:hint="eastAsia" w:cs="仿宋_GB2312"/>
          <w:b w:val="0"/>
          <w:color w:val="auto"/>
          <w:kern w:val="2"/>
          <w:sz w:val="32"/>
          <w:szCs w:val="32"/>
          <w:highlight w:val="none"/>
          <w:lang w:val="en-US" w:eastAsia="zh-CN" w:bidi="ar-SA"/>
        </w:rPr>
        <w:t>省委编办</w:t>
      </w:r>
      <w:r>
        <w:rPr>
          <w:rFonts w:hint="eastAsia" w:ascii="仿宋_GB2312" w:hAnsi="仿宋_GB2312" w:eastAsia="仿宋_GB2312" w:cs="仿宋_GB2312"/>
          <w:b w:val="0"/>
          <w:color w:val="auto"/>
          <w:kern w:val="2"/>
          <w:sz w:val="32"/>
          <w:szCs w:val="32"/>
          <w:highlight w:val="none"/>
          <w:lang w:val="en-US" w:eastAsia="zh-CN" w:bidi="ar-SA"/>
        </w:rPr>
        <w:t>202</w:t>
      </w:r>
      <w:r>
        <w:rPr>
          <w:rFonts w:hint="eastAsia" w:cs="仿宋_GB2312"/>
          <w:b w:val="0"/>
          <w:color w:val="auto"/>
          <w:kern w:val="2"/>
          <w:sz w:val="32"/>
          <w:szCs w:val="32"/>
          <w:highlight w:val="none"/>
          <w:lang w:val="en-US" w:eastAsia="zh-CN" w:bidi="ar-SA"/>
        </w:rPr>
        <w:t>1</w:t>
      </w:r>
      <w:r>
        <w:rPr>
          <w:rFonts w:hint="eastAsia" w:ascii="仿宋_GB2312" w:hAnsi="仿宋_GB2312" w:eastAsia="仿宋_GB2312" w:cs="仿宋_GB2312"/>
          <w:b w:val="0"/>
          <w:color w:val="auto"/>
          <w:kern w:val="2"/>
          <w:sz w:val="32"/>
          <w:szCs w:val="32"/>
          <w:highlight w:val="none"/>
          <w:lang w:val="en-US" w:eastAsia="zh-CN" w:bidi="ar-SA"/>
        </w:rPr>
        <w:t>年</w:t>
      </w:r>
      <w:r>
        <w:rPr>
          <w:rFonts w:hint="eastAsia" w:cs="仿宋_GB2312"/>
          <w:b w:val="0"/>
          <w:color w:val="auto"/>
          <w:kern w:val="2"/>
          <w:sz w:val="32"/>
          <w:szCs w:val="32"/>
          <w:highlight w:val="none"/>
          <w:lang w:val="en-US" w:eastAsia="zh-CN" w:bidi="ar-SA"/>
        </w:rPr>
        <w:t>业务</w:t>
      </w:r>
      <w:r>
        <w:rPr>
          <w:rFonts w:hint="eastAsia" w:ascii="仿宋_GB2312" w:hAnsi="仿宋_GB2312" w:eastAsia="仿宋_GB2312" w:cs="仿宋_GB2312"/>
          <w:b w:val="0"/>
          <w:color w:val="auto"/>
          <w:kern w:val="2"/>
          <w:sz w:val="32"/>
          <w:szCs w:val="32"/>
          <w:highlight w:val="none"/>
          <w:lang w:val="en-US" w:eastAsia="zh-CN" w:bidi="ar-SA"/>
        </w:rPr>
        <w:t>费项目的实施效果进行评价，全面反映资金支出的效率和效益。对项目实施情况、资金管理使用情况及实施效果进行评价，发现项目实施中存在的问题和不足，并提出具体建议，以提高资金的管理水平，保障资金支出的效益，进而科学评价资金的使用成效，为今后规范项目管理和财政资金安排提供参考依据</w:t>
      </w:r>
      <w:r>
        <w:rPr>
          <w:rFonts w:hint="eastAsia" w:cs="仿宋_GB2312"/>
          <w:b w:val="0"/>
          <w:color w:val="auto"/>
          <w:kern w:val="2"/>
          <w:sz w:val="32"/>
          <w:szCs w:val="32"/>
          <w:highlight w:val="none"/>
          <w:lang w:val="en-US" w:eastAsia="zh-CN" w:bidi="ar-SA"/>
        </w:rPr>
        <w:t>，全</w:t>
      </w:r>
      <w:r>
        <w:rPr>
          <w:rFonts w:hint="eastAsia" w:ascii="仿宋_GB2312" w:hAnsi="仿宋_GB2312" w:eastAsia="仿宋_GB2312" w:cs="仿宋_GB2312"/>
          <w:b w:val="0"/>
          <w:color w:val="auto"/>
          <w:kern w:val="2"/>
          <w:sz w:val="32"/>
          <w:szCs w:val="32"/>
          <w:highlight w:val="none"/>
          <w:lang w:val="en-US" w:eastAsia="zh-CN" w:bidi="ar-SA"/>
        </w:rPr>
        <w:t>面推进建立</w:t>
      </w:r>
      <w:r>
        <w:rPr>
          <w:rFonts w:hint="eastAsia" w:cs="仿宋_GB2312"/>
          <w:b w:val="0"/>
          <w:color w:val="auto"/>
          <w:kern w:val="2"/>
          <w:sz w:val="32"/>
          <w:szCs w:val="32"/>
          <w:highlight w:val="none"/>
          <w:lang w:val="en-US" w:eastAsia="zh-CN" w:bidi="ar-SA"/>
        </w:rPr>
        <w:t>健全</w:t>
      </w:r>
      <w:r>
        <w:rPr>
          <w:rFonts w:hint="eastAsia" w:ascii="仿宋_GB2312" w:hAnsi="仿宋_GB2312" w:eastAsia="仿宋_GB2312" w:cs="仿宋_GB2312"/>
          <w:b w:val="0"/>
          <w:color w:val="auto"/>
          <w:kern w:val="2"/>
          <w:sz w:val="32"/>
          <w:szCs w:val="32"/>
          <w:highlight w:val="none"/>
          <w:lang w:val="en-US" w:eastAsia="zh-CN" w:bidi="ar-SA"/>
        </w:rPr>
        <w:t>“预算编制有目标、预算执行有监控、预算完成有评价、评价结果有反馈、反馈结果有应用”的预算绩效管理机制。</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highlight w:val="none"/>
          <w:lang w:eastAsia="zh-CN"/>
        </w:rPr>
      </w:pPr>
      <w:bookmarkStart w:id="48" w:name="_Toc27598"/>
      <w:bookmarkStart w:id="49" w:name="_Toc23300"/>
      <w:bookmarkStart w:id="50" w:name="_Toc30417"/>
      <w:r>
        <w:rPr>
          <w:rFonts w:hint="eastAsia" w:ascii="楷体_GB2312" w:hAnsi="楷体_GB2312" w:eastAsia="楷体_GB2312" w:cs="楷体_GB2312"/>
          <w:b w:val="0"/>
          <w:bCs/>
          <w:color w:val="auto"/>
          <w:highlight w:val="none"/>
          <w:lang w:val="en-US" w:eastAsia="zh-CN"/>
        </w:rPr>
        <w:fldChar w:fldCharType="begin"/>
      </w:r>
      <w:r>
        <w:rPr>
          <w:rFonts w:hint="eastAsia" w:ascii="楷体_GB2312" w:hAnsi="楷体_GB2312" w:eastAsia="楷体_GB2312" w:cs="楷体_GB2312"/>
          <w:b w:val="0"/>
          <w:bCs/>
          <w:color w:val="auto"/>
          <w:highlight w:val="none"/>
          <w:lang w:val="en-US" w:eastAsia="zh-CN"/>
        </w:rPr>
        <w:instrText xml:space="preserve"> HYPERLINK \l _Toc22735 </w:instrText>
      </w:r>
      <w:r>
        <w:rPr>
          <w:rFonts w:hint="eastAsia" w:ascii="楷体_GB2312" w:hAnsi="楷体_GB2312" w:eastAsia="楷体_GB2312" w:cs="楷体_GB2312"/>
          <w:b w:val="0"/>
          <w:bCs/>
          <w:color w:val="auto"/>
          <w:highlight w:val="none"/>
          <w:lang w:val="en-US" w:eastAsia="zh-CN"/>
        </w:rPr>
        <w:fldChar w:fldCharType="separate"/>
      </w:r>
      <w:r>
        <w:rPr>
          <w:rFonts w:hint="eastAsia" w:ascii="楷体_GB2312" w:hAnsi="楷体_GB2312" w:eastAsia="楷体_GB2312" w:cs="楷体_GB2312"/>
          <w:b w:val="0"/>
          <w:bCs/>
          <w:color w:val="auto"/>
          <w:highlight w:val="none"/>
          <w:lang w:val="en-US" w:eastAsia="zh-CN"/>
        </w:rPr>
        <w:t>（二）评价对象</w:t>
      </w:r>
      <w:r>
        <w:rPr>
          <w:rFonts w:hint="eastAsia" w:ascii="楷体_GB2312" w:hAnsi="楷体_GB2312" w:eastAsia="楷体_GB2312" w:cs="楷体_GB2312"/>
          <w:b w:val="0"/>
          <w:bCs/>
          <w:color w:val="auto"/>
          <w:highlight w:val="none"/>
          <w:lang w:val="en-US" w:eastAsia="zh-CN"/>
        </w:rPr>
        <w:fldChar w:fldCharType="end"/>
      </w:r>
      <w:bookmarkEnd w:id="48"/>
      <w:r>
        <w:rPr>
          <w:rFonts w:hint="eastAsia" w:ascii="楷体_GB2312" w:hAnsi="楷体_GB2312" w:eastAsia="楷体_GB2312" w:cs="楷体_GB2312"/>
          <w:b w:val="0"/>
          <w:bCs/>
          <w:color w:val="auto"/>
          <w:highlight w:val="none"/>
          <w:lang w:val="en-US" w:eastAsia="zh-CN"/>
        </w:rPr>
        <w:t>和范围</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color w:val="auto"/>
          <w:sz w:val="32"/>
          <w:szCs w:val="32"/>
          <w:highlight w:val="none"/>
          <w:lang w:val="en-US" w:eastAsia="zh-CN"/>
        </w:rPr>
      </w:pPr>
      <w:r>
        <w:rPr>
          <w:rFonts w:hint="eastAsia"/>
          <w:b w:val="0"/>
          <w:bCs/>
          <w:color w:val="auto"/>
          <w:sz w:val="32"/>
          <w:szCs w:val="32"/>
          <w:highlight w:val="none"/>
          <w:lang w:val="en-US" w:eastAsia="zh-CN"/>
        </w:rPr>
        <w:t>本次绩效评价对象为省委编办2021年业务费项目</w:t>
      </w:r>
      <w:r>
        <w:rPr>
          <w:rFonts w:hint="eastAsia"/>
          <w:color w:val="auto"/>
          <w:highlight w:val="none"/>
          <w:lang w:val="en-US" w:eastAsia="zh-CN"/>
        </w:rPr>
        <w:t>320万元</w:t>
      </w:r>
      <w:r>
        <w:rPr>
          <w:rFonts w:hint="eastAsia" w:ascii="仿宋_GB2312" w:eastAsia="仿宋_GB2312"/>
          <w:b w:val="0"/>
          <w:bCs/>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highlight w:val="none"/>
          <w:lang w:eastAsia="zh-CN"/>
        </w:rPr>
      </w:pPr>
      <w:bookmarkStart w:id="51" w:name="_Toc14749"/>
      <w:bookmarkStart w:id="52" w:name="_Toc19738"/>
      <w:r>
        <w:rPr>
          <w:rFonts w:hint="eastAsia" w:ascii="楷体_GB2312" w:hAnsi="楷体_GB2312" w:eastAsia="楷体_GB2312" w:cs="楷体_GB2312"/>
          <w:b w:val="0"/>
          <w:bCs/>
          <w:color w:val="auto"/>
          <w:highlight w:val="none"/>
        </w:rPr>
        <w:t>（</w:t>
      </w:r>
      <w:r>
        <w:rPr>
          <w:rFonts w:hint="eastAsia" w:ascii="楷体_GB2312" w:hAnsi="楷体_GB2312" w:eastAsia="楷体_GB2312" w:cs="楷体_GB2312"/>
          <w:b w:val="0"/>
          <w:bCs/>
          <w:color w:val="auto"/>
          <w:highlight w:val="none"/>
          <w:lang w:eastAsia="zh-CN"/>
        </w:rPr>
        <w:t>三</w:t>
      </w:r>
      <w:r>
        <w:rPr>
          <w:rFonts w:hint="eastAsia" w:ascii="楷体_GB2312" w:hAnsi="楷体_GB2312" w:eastAsia="楷体_GB2312" w:cs="楷体_GB2312"/>
          <w:b w:val="0"/>
          <w:bCs/>
          <w:color w:val="auto"/>
          <w:highlight w:val="none"/>
        </w:rPr>
        <w:t>）评价</w:t>
      </w:r>
      <w:r>
        <w:rPr>
          <w:rFonts w:hint="eastAsia" w:ascii="楷体_GB2312" w:hAnsi="楷体_GB2312" w:eastAsia="楷体_GB2312" w:cs="楷体_GB2312"/>
          <w:b w:val="0"/>
          <w:bCs/>
          <w:color w:val="auto"/>
          <w:highlight w:val="none"/>
          <w:lang w:eastAsia="zh-CN"/>
        </w:rPr>
        <w:t>依据</w:t>
      </w:r>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lang w:eastAsia="zh-CN"/>
        </w:rPr>
        <w:t>省委编办</w:t>
      </w:r>
      <w:r>
        <w:rPr>
          <w:rFonts w:hint="eastAsia"/>
          <w:lang w:val="en-US" w:eastAsia="zh-CN"/>
        </w:rPr>
        <w:t>2021</w:t>
      </w:r>
      <w:r>
        <w:rPr>
          <w:rFonts w:hint="eastAsia"/>
        </w:rPr>
        <w:t>年</w:t>
      </w:r>
      <w:r>
        <w:rPr>
          <w:rFonts w:hint="eastAsia"/>
          <w:lang w:eastAsia="zh-CN"/>
        </w:rPr>
        <w:t>业务</w:t>
      </w:r>
      <w:r>
        <w:rPr>
          <w:rFonts w:hint="eastAsia"/>
        </w:rPr>
        <w:t>费项目绩效评价依据如下：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1.</w:t>
      </w:r>
      <w:r>
        <w:rPr>
          <w:rFonts w:hint="eastAsia"/>
        </w:rPr>
        <w:t>《中华人民共和国预算法》；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2.</w:t>
      </w:r>
      <w:r>
        <w:rPr>
          <w:rFonts w:hint="eastAsia"/>
        </w:rPr>
        <w:t>《中国共产党机构编制工作条例》；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3.</w:t>
      </w:r>
      <w:r>
        <w:rPr>
          <w:rFonts w:hint="eastAsia"/>
        </w:rPr>
        <w:t>《财政部关于印发&lt;预算绩效评价共性指标体系框架&gt;的通知》（财预〔2013〕53号）；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rPr>
      </w:pPr>
      <w:r>
        <w:rPr>
          <w:rFonts w:hint="eastAsia"/>
          <w:lang w:val="en-US" w:eastAsia="zh-CN"/>
        </w:rPr>
        <w:t>4.</w:t>
      </w:r>
      <w:r>
        <w:rPr>
          <w:rFonts w:hint="eastAsia"/>
        </w:rPr>
        <w:t>《中共中央国务院关于全面实施预算绩效管理的意见》（中发〔2018〕34号）；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rPr>
      </w:pPr>
      <w:r>
        <w:rPr>
          <w:rFonts w:hint="eastAsia"/>
          <w:lang w:val="en-US" w:eastAsia="zh-CN"/>
        </w:rPr>
        <w:t>5.</w:t>
      </w:r>
      <w:r>
        <w:rPr>
          <w:rFonts w:hint="eastAsia"/>
        </w:rPr>
        <w:t>《关于贯彻落实&lt;中共中央国务院关于全面实施预算绩效管理的意见&gt;的通知》（财预〔2018〕167号）；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rPr>
      </w:pPr>
      <w:r>
        <w:rPr>
          <w:rFonts w:hint="eastAsia"/>
          <w:lang w:val="en-US" w:eastAsia="zh-CN"/>
        </w:rPr>
        <w:t>6.</w:t>
      </w:r>
      <w:r>
        <w:rPr>
          <w:rFonts w:hint="eastAsia"/>
        </w:rPr>
        <w:t>甘肃省委、省政府《关于全面实施预算绩效管理的实施意见》（甘发〔2018〕32号）；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rPr>
      </w:pPr>
      <w:r>
        <w:rPr>
          <w:rFonts w:hint="eastAsia"/>
          <w:lang w:val="en-US" w:eastAsia="zh-CN"/>
        </w:rPr>
        <w:t>7.</w:t>
      </w:r>
      <w:r>
        <w:rPr>
          <w:rFonts w:hint="eastAsia"/>
        </w:rPr>
        <w:t>《财政部关于印发&lt;项目支出绩效评价管理办法&gt;的 通知》（财预〔2020〕10号）；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rPr>
      </w:pPr>
      <w:r>
        <w:rPr>
          <w:rFonts w:hint="eastAsia"/>
          <w:lang w:val="en-US" w:eastAsia="zh-CN"/>
        </w:rPr>
        <w:t>8.</w:t>
      </w:r>
      <w:r>
        <w:rPr>
          <w:rFonts w:hint="eastAsia"/>
        </w:rPr>
        <w:t>《</w:t>
      </w:r>
      <w:r>
        <w:rPr>
          <w:rFonts w:hint="eastAsia"/>
          <w:lang w:eastAsia="zh-CN"/>
        </w:rPr>
        <w:t>甘肃省省级项目支出绩效部门评价和财政评价工作规程</w:t>
      </w:r>
      <w:r>
        <w:rPr>
          <w:rFonts w:hint="eastAsia"/>
        </w:rPr>
        <w:t>》（</w:t>
      </w:r>
      <w:r>
        <w:rPr>
          <w:rFonts w:hint="eastAsia"/>
          <w:lang w:eastAsia="zh-CN"/>
        </w:rPr>
        <w:t>甘财绩</w:t>
      </w:r>
      <w:r>
        <w:rPr>
          <w:rFonts w:hint="eastAsia"/>
        </w:rPr>
        <w:t>〔20</w:t>
      </w:r>
      <w:r>
        <w:rPr>
          <w:rFonts w:hint="eastAsia"/>
          <w:lang w:val="en-US" w:eastAsia="zh-CN"/>
        </w:rPr>
        <w:t>20</w:t>
      </w:r>
      <w:r>
        <w:rPr>
          <w:rFonts w:hint="eastAsia"/>
        </w:rPr>
        <w:t>〕</w:t>
      </w:r>
      <w:r>
        <w:rPr>
          <w:rFonts w:hint="eastAsia"/>
          <w:lang w:val="en-US" w:eastAsia="zh-CN"/>
        </w:rPr>
        <w:t>5</w:t>
      </w:r>
      <w:r>
        <w:rPr>
          <w:rFonts w:hint="eastAsia"/>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lang w:val="en-US" w:eastAsia="zh-CN"/>
        </w:rPr>
        <w:t>9.《中共甘肃省委机构编制委员会办公室2020年工作要点》；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lang w:val="en-US" w:eastAsia="zh-CN"/>
        </w:rPr>
        <w:t>10.</w:t>
      </w:r>
      <w:r>
        <w:rPr>
          <w:rFonts w:hint="eastAsia"/>
          <w:color w:val="auto"/>
          <w:highlight w:val="none"/>
          <w:lang w:eastAsia="zh-CN"/>
        </w:rPr>
        <w:t>《甘肃省财政厅关于开展202</w:t>
      </w:r>
      <w:r>
        <w:rPr>
          <w:rFonts w:hint="eastAsia"/>
          <w:color w:val="auto"/>
          <w:highlight w:val="none"/>
          <w:lang w:val="en-US" w:eastAsia="zh-CN"/>
        </w:rPr>
        <w:t>1</w:t>
      </w:r>
      <w:r>
        <w:rPr>
          <w:rFonts w:hint="eastAsia"/>
          <w:color w:val="auto"/>
          <w:highlight w:val="none"/>
          <w:lang w:eastAsia="zh-CN"/>
        </w:rPr>
        <w:t>年度省级预算执行情况部门和财政重点绩效评价工作的通知》（甘财绩〔202</w:t>
      </w:r>
      <w:r>
        <w:rPr>
          <w:rFonts w:hint="eastAsia"/>
          <w:color w:val="auto"/>
          <w:highlight w:val="none"/>
          <w:lang w:val="en-US" w:eastAsia="zh-CN"/>
        </w:rPr>
        <w:t>2</w:t>
      </w:r>
      <w:r>
        <w:rPr>
          <w:rFonts w:hint="eastAsia"/>
          <w:color w:val="auto"/>
          <w:highlight w:val="none"/>
          <w:lang w:eastAsia="zh-CN"/>
        </w:rPr>
        <w:t>〕4号）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highlight w:val="none"/>
          <w:lang w:val="en-US" w:eastAsia="zh-CN"/>
        </w:rPr>
      </w:pPr>
      <w:bookmarkStart w:id="53" w:name="_Toc16103"/>
      <w:bookmarkStart w:id="54" w:name="_Toc24530"/>
      <w:r>
        <w:rPr>
          <w:rFonts w:hint="eastAsia" w:ascii="楷体_GB2312" w:hAnsi="楷体_GB2312" w:eastAsia="楷体_GB2312" w:cs="楷体_GB2312"/>
          <w:b w:val="0"/>
          <w:bCs/>
          <w:color w:val="auto"/>
          <w:highlight w:val="none"/>
          <w:lang w:val="en-US" w:eastAsia="zh-CN"/>
        </w:rPr>
        <w:t>（四）评价原则</w:t>
      </w:r>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Times New Roman"/>
          <w:b w:val="0"/>
          <w:kern w:val="2"/>
          <w:sz w:val="32"/>
          <w:szCs w:val="24"/>
          <w:lang w:val="en-US" w:eastAsia="zh-CN" w:bidi="ar-SA"/>
        </w:rPr>
      </w:pPr>
      <w:r>
        <w:rPr>
          <w:rFonts w:hint="eastAsia" w:ascii="仿宋_GB2312" w:hAnsi="仿宋_GB2312" w:eastAsia="仿宋_GB2312" w:cs="Times New Roman"/>
          <w:b w:val="0"/>
          <w:kern w:val="2"/>
          <w:sz w:val="32"/>
          <w:szCs w:val="24"/>
          <w:lang w:val="en-US" w:eastAsia="zh-CN" w:bidi="ar-SA"/>
        </w:rPr>
        <w:t>本次绩效评价遵循以下原则：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lang w:val="en-US" w:eastAsia="zh-CN"/>
        </w:rPr>
      </w:pPr>
      <w:r>
        <w:rPr>
          <w:rFonts w:hint="eastAsia" w:ascii="仿宋_GB2312" w:hAnsi="仿宋_GB2312" w:eastAsia="仿宋_GB2312" w:cs="Times New Roman"/>
          <w:b/>
          <w:bCs/>
          <w:kern w:val="2"/>
          <w:sz w:val="32"/>
          <w:szCs w:val="24"/>
          <w:lang w:val="en-US" w:eastAsia="zh-CN" w:bidi="ar-SA"/>
        </w:rPr>
        <w:t>1.科学规范原则</w:t>
      </w:r>
      <w:r>
        <w:rPr>
          <w:rFonts w:hint="eastAsia" w:cs="Times New Roman"/>
          <w:b/>
          <w:bCs/>
          <w:kern w:val="2"/>
          <w:sz w:val="32"/>
          <w:szCs w:val="24"/>
          <w:lang w:val="en-US" w:eastAsia="zh-CN" w:bidi="ar-SA"/>
        </w:rPr>
        <w:t>。</w:t>
      </w:r>
      <w:bookmarkStart w:id="55" w:name="_Toc17204"/>
      <w:r>
        <w:rPr>
          <w:rFonts w:hint="eastAsia"/>
          <w:lang w:val="en-US" w:eastAsia="zh-CN"/>
        </w:rPr>
        <w:t>此次绩效评价运用科学合理的方法，按照规范的程序，对省委编办2021年业务费使用情况进行客观、公正的反映。</w:t>
      </w:r>
      <w:bookmarkEnd w:id="55"/>
    </w:p>
    <w:p>
      <w:pPr>
        <w:keepNext w:val="0"/>
        <w:keepLines w:val="0"/>
        <w:pageBreakBefore w:val="0"/>
        <w:widowControl w:val="0"/>
        <w:kinsoku/>
        <w:overflowPunct/>
        <w:topLinePunct w:val="0"/>
        <w:autoSpaceDE/>
        <w:autoSpaceDN/>
        <w:bidi w:val="0"/>
        <w:adjustRightInd/>
        <w:snapToGrid/>
        <w:spacing w:line="560" w:lineRule="exact"/>
        <w:rPr>
          <w:rFonts w:hint="eastAsia"/>
          <w:lang w:val="en-US" w:eastAsia="zh-CN"/>
        </w:rPr>
      </w:pPr>
      <w:bookmarkStart w:id="56" w:name="_Toc21373"/>
      <w:r>
        <w:rPr>
          <w:rFonts w:hint="eastAsia"/>
          <w:b/>
          <w:bCs/>
          <w:lang w:val="en-US" w:eastAsia="zh-CN"/>
        </w:rPr>
        <w:t>2.统筹兼顾原则</w:t>
      </w:r>
      <w:bookmarkEnd w:id="56"/>
      <w:r>
        <w:rPr>
          <w:rFonts w:hint="eastAsia"/>
          <w:b/>
          <w:bCs/>
          <w:lang w:val="en-US" w:eastAsia="zh-CN"/>
        </w:rPr>
        <w:t>。</w:t>
      </w:r>
      <w:bookmarkStart w:id="57" w:name="_Toc32260"/>
      <w:r>
        <w:rPr>
          <w:rFonts w:hint="eastAsia"/>
          <w:lang w:val="en-US" w:eastAsia="zh-CN"/>
        </w:rPr>
        <w:t>绩效评价结果将作为省委编办年终工作评价考核的重要参考依据。</w:t>
      </w:r>
      <w:bookmarkEnd w:id="57"/>
    </w:p>
    <w:p>
      <w:pPr>
        <w:keepNext w:val="0"/>
        <w:keepLines w:val="0"/>
        <w:pageBreakBefore w:val="0"/>
        <w:widowControl w:val="0"/>
        <w:kinsoku/>
        <w:overflowPunct/>
        <w:topLinePunct w:val="0"/>
        <w:autoSpaceDE/>
        <w:autoSpaceDN/>
        <w:bidi w:val="0"/>
        <w:adjustRightInd/>
        <w:snapToGrid/>
        <w:spacing w:line="560" w:lineRule="exact"/>
        <w:rPr>
          <w:rFonts w:hint="eastAsia"/>
          <w:lang w:val="en-US" w:eastAsia="zh-CN"/>
        </w:rPr>
      </w:pPr>
      <w:bookmarkStart w:id="58" w:name="_Toc4991"/>
      <w:r>
        <w:rPr>
          <w:rFonts w:hint="eastAsia"/>
          <w:b/>
          <w:bCs/>
          <w:lang w:val="en-US" w:eastAsia="zh-CN"/>
        </w:rPr>
        <w:t>3.激励约束原则</w:t>
      </w:r>
      <w:bookmarkEnd w:id="58"/>
      <w:r>
        <w:rPr>
          <w:rFonts w:hint="eastAsia"/>
          <w:b/>
          <w:bCs/>
          <w:lang w:val="en-US" w:eastAsia="zh-CN"/>
        </w:rPr>
        <w:t>。</w:t>
      </w:r>
      <w:bookmarkStart w:id="59" w:name="_Toc24142"/>
      <w:r>
        <w:rPr>
          <w:rFonts w:hint="eastAsia"/>
          <w:lang w:val="en-US" w:eastAsia="zh-CN"/>
        </w:rPr>
        <w:t>此次绩效评价结果与预算安排、政策调整、改进管理实质性挂钩，体现奖优罚劣和激励相容导向，有效要安排、低效要压减、无效要问责。</w:t>
      </w:r>
      <w:bookmarkEnd w:id="59"/>
    </w:p>
    <w:p>
      <w:pPr>
        <w:keepNext w:val="0"/>
        <w:keepLines w:val="0"/>
        <w:pageBreakBefore w:val="0"/>
        <w:widowControl w:val="0"/>
        <w:kinsoku/>
        <w:overflowPunct/>
        <w:topLinePunct w:val="0"/>
        <w:autoSpaceDE/>
        <w:autoSpaceDN/>
        <w:bidi w:val="0"/>
        <w:adjustRightInd/>
        <w:snapToGrid/>
        <w:spacing w:line="560" w:lineRule="exact"/>
        <w:rPr>
          <w:rFonts w:hint="eastAsia"/>
          <w:lang w:val="en-US" w:eastAsia="zh-CN"/>
        </w:rPr>
      </w:pPr>
      <w:bookmarkStart w:id="60" w:name="_Toc15567"/>
      <w:r>
        <w:rPr>
          <w:rFonts w:hint="eastAsia"/>
          <w:b/>
          <w:bCs/>
          <w:lang w:val="en-US" w:eastAsia="zh-CN"/>
        </w:rPr>
        <w:t>4.公开透明原则</w:t>
      </w:r>
      <w:bookmarkEnd w:id="60"/>
      <w:r>
        <w:rPr>
          <w:rFonts w:hint="eastAsia"/>
          <w:b/>
          <w:bCs/>
          <w:lang w:val="en-US" w:eastAsia="zh-CN"/>
        </w:rPr>
        <w:t>。</w:t>
      </w:r>
      <w:bookmarkStart w:id="61" w:name="_Toc623"/>
      <w:r>
        <w:rPr>
          <w:rFonts w:hint="eastAsia"/>
          <w:lang w:val="en-US" w:eastAsia="zh-CN"/>
        </w:rPr>
        <w:t>此次绩效评价结果将依法依规公开，并自觉接受社会监督。</w:t>
      </w:r>
      <w:bookmarkEnd w:id="61"/>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highlight w:val="none"/>
          <w:lang w:val="en-US" w:eastAsia="zh-CN"/>
        </w:rPr>
      </w:pPr>
      <w:bookmarkStart w:id="62" w:name="_Toc29781"/>
      <w:bookmarkStart w:id="63" w:name="_Toc24094"/>
      <w:r>
        <w:rPr>
          <w:rFonts w:hint="eastAsia" w:ascii="楷体_GB2312" w:hAnsi="楷体_GB2312" w:eastAsia="楷体_GB2312" w:cs="楷体_GB2312"/>
          <w:b w:val="0"/>
          <w:bCs/>
          <w:color w:val="auto"/>
          <w:highlight w:val="none"/>
          <w:lang w:val="en-US" w:eastAsia="zh-CN"/>
        </w:rPr>
        <w:t>（五）评价方法</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b/>
          <w:bCs/>
          <w:lang w:val="en-US" w:eastAsia="zh-CN"/>
        </w:rPr>
        <w:t>1.比较法。</w:t>
      </w:r>
      <w:r>
        <w:rPr>
          <w:rFonts w:hint="eastAsia"/>
          <w:lang w:val="en-US" w:eastAsia="zh-CN"/>
        </w:rPr>
        <w:t>选用目标比较法，通过对省委编办2021年业务费项目的年度目标和实际完成情况进行对比，考虑研究影响目标完成情况的各个因素，采取定量分析与定性分析相结合的方法，综合分析，最后依据分析结果进行绩效评价；选用动态比较法，通过对不同时期的同类财政支出效果的历史数据进行比较，得出项目过去的效益波动及变化情况，并结合既定指标体系评价标准综合分析，进而进行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rPr>
          <w:rFonts w:hint="eastAsia"/>
          <w:lang w:val="en-US" w:eastAsia="zh-CN"/>
        </w:rPr>
      </w:pPr>
      <w:r>
        <w:rPr>
          <w:rFonts w:hint="eastAsia"/>
          <w:b/>
          <w:bCs/>
          <w:lang w:val="en-US" w:eastAsia="zh-CN"/>
        </w:rPr>
        <w:t>2.公众评判法。</w:t>
      </w:r>
      <w:r>
        <w:rPr>
          <w:rFonts w:hint="eastAsia"/>
          <w:lang w:val="en-US" w:eastAsia="zh-CN"/>
        </w:rPr>
        <w:t>通过查阅资料，结合设计的调查问卷，对项目开展调查，了解省委编办2021年业务费项目的开展情况，项目实施效果，各单位及内部工作人员对项目实施及其效果的认可度和满意度，最终总结分析出受益对象的满意程度和项目实施效果。</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highlight w:val="none"/>
        </w:rPr>
      </w:pPr>
      <w:bookmarkStart w:id="64" w:name="_Toc25539"/>
      <w:bookmarkStart w:id="65" w:name="_Toc6735"/>
      <w:r>
        <w:rPr>
          <w:rFonts w:hint="eastAsia" w:ascii="楷体_GB2312" w:hAnsi="楷体_GB2312" w:eastAsia="楷体_GB2312" w:cs="楷体_GB2312"/>
          <w:b w:val="0"/>
          <w:bCs/>
          <w:color w:val="auto"/>
          <w:highlight w:val="none"/>
          <w:lang w:eastAsia="zh-CN"/>
        </w:rPr>
        <w:t>（六）绩效</w:t>
      </w:r>
      <w:r>
        <w:rPr>
          <w:rFonts w:hint="eastAsia" w:ascii="楷体_GB2312" w:hAnsi="楷体_GB2312" w:eastAsia="楷体_GB2312" w:cs="楷体_GB2312"/>
          <w:b w:val="0"/>
          <w:bCs/>
          <w:color w:val="auto"/>
          <w:highlight w:val="none"/>
        </w:rPr>
        <w:t>评价指标体系</w:t>
      </w:r>
      <w:bookmarkEnd w:id="64"/>
      <w:bookmarkEnd w:id="65"/>
    </w:p>
    <w:p>
      <w:pPr>
        <w:keepNext w:val="0"/>
        <w:keepLines w:val="0"/>
        <w:pageBreakBefore w:val="0"/>
        <w:widowControl w:val="0"/>
        <w:kinsoku/>
        <w:wordWrap/>
        <w:overflowPunct/>
        <w:topLinePunct w:val="0"/>
        <w:autoSpaceDE/>
        <w:autoSpaceDN/>
        <w:bidi w:val="0"/>
        <w:adjustRightInd/>
        <w:snapToGrid/>
        <w:spacing w:line="560" w:lineRule="exact"/>
        <w:rPr>
          <w:color w:val="auto"/>
          <w:highlight w:val="none"/>
        </w:rPr>
      </w:pPr>
      <w:r>
        <w:rPr>
          <w:rFonts w:hint="eastAsia"/>
          <w:color w:val="auto"/>
          <w:highlight w:val="none"/>
        </w:rPr>
        <w:t>本次绩效评价指标体系</w:t>
      </w:r>
      <w:r>
        <w:rPr>
          <w:rFonts w:hint="eastAsia"/>
          <w:color w:val="auto"/>
          <w:highlight w:val="none"/>
          <w:lang w:eastAsia="zh-CN"/>
        </w:rPr>
        <w:t>紧紧</w:t>
      </w:r>
      <w:r>
        <w:rPr>
          <w:rFonts w:hint="eastAsia"/>
          <w:color w:val="auto"/>
          <w:highlight w:val="none"/>
        </w:rPr>
        <w:t>围绕项目决策、项目组织管理、资金投入与使用、项目实施进度及目标实现情况等重要内容</w:t>
      </w:r>
      <w:r>
        <w:rPr>
          <w:rFonts w:hint="eastAsia"/>
          <w:color w:val="auto"/>
          <w:highlight w:val="none"/>
          <w:lang w:eastAsia="zh-CN"/>
        </w:rPr>
        <w:t>进行</w:t>
      </w:r>
      <w:r>
        <w:rPr>
          <w:rFonts w:hint="eastAsia"/>
          <w:color w:val="auto"/>
          <w:highlight w:val="none"/>
        </w:rPr>
        <w:t>设计，结合绩效评价方法，从项目决策、过程、产出、效果四个方面对项目实施情况进行综合评价。各项</w:t>
      </w:r>
      <w:r>
        <w:rPr>
          <w:rFonts w:hint="eastAsia" w:hAnsi="Times New Roman"/>
          <w:bCs/>
          <w:color w:val="auto"/>
          <w:szCs w:val="32"/>
          <w:highlight w:val="none"/>
        </w:rPr>
        <w:t>指标权重设计，按照</w:t>
      </w:r>
      <w:r>
        <w:rPr>
          <w:rFonts w:hint="eastAsia"/>
          <w:bCs/>
          <w:color w:val="auto"/>
          <w:szCs w:val="32"/>
          <w:highlight w:val="none"/>
        </w:rPr>
        <w:t>《财政部关于印发</w:t>
      </w:r>
      <w:r>
        <w:rPr>
          <w:rFonts w:hint="eastAsia" w:cs="仿宋_GB2312"/>
          <w:color w:val="auto"/>
          <w:szCs w:val="32"/>
          <w:highlight w:val="none"/>
        </w:rPr>
        <w:t>&lt;</w:t>
      </w:r>
      <w:r>
        <w:rPr>
          <w:rFonts w:hint="eastAsia"/>
          <w:bCs/>
          <w:color w:val="auto"/>
          <w:szCs w:val="32"/>
          <w:highlight w:val="none"/>
        </w:rPr>
        <w:t>项目支出绩效评价管理办法&gt;的通知》（财预〔2020〕10号）</w:t>
      </w:r>
      <w:r>
        <w:rPr>
          <w:rFonts w:hint="eastAsia"/>
          <w:color w:val="auto"/>
          <w:highlight w:val="none"/>
        </w:rPr>
        <w:t>文件中“应当</w:t>
      </w:r>
      <w:r>
        <w:rPr>
          <w:rFonts w:hint="eastAsia" w:hAnsi="Times New Roman"/>
          <w:bCs/>
          <w:color w:val="auto"/>
          <w:szCs w:val="32"/>
          <w:highlight w:val="none"/>
        </w:rPr>
        <w:t>突出结果导向，原则上产出、效益指标权重不低于60%”的要求进行合理赋分。具体评价指标内容如下：</w:t>
      </w:r>
    </w:p>
    <w:p>
      <w:pPr>
        <w:keepNext w:val="0"/>
        <w:keepLines w:val="0"/>
        <w:pageBreakBefore w:val="0"/>
        <w:widowControl w:val="0"/>
        <w:kinsoku/>
        <w:wordWrap/>
        <w:overflowPunct/>
        <w:topLinePunct w:val="0"/>
        <w:autoSpaceDE/>
        <w:autoSpaceDN/>
        <w:bidi w:val="0"/>
        <w:adjustRightInd/>
        <w:snapToGrid/>
        <w:spacing w:line="560" w:lineRule="exact"/>
        <w:ind w:firstLine="643"/>
        <w:rPr>
          <w:color w:val="auto"/>
          <w:highlight w:val="none"/>
        </w:rPr>
      </w:pPr>
      <w:r>
        <w:rPr>
          <w:rFonts w:hint="eastAsia"/>
          <w:b/>
          <w:bCs/>
          <w:color w:val="auto"/>
          <w:highlight w:val="none"/>
        </w:rPr>
        <w:t>1.决策</w:t>
      </w:r>
      <w:r>
        <w:rPr>
          <w:rFonts w:hint="eastAsia"/>
          <w:color w:val="auto"/>
          <w:highlight w:val="none"/>
          <w:lang w:eastAsia="zh-CN"/>
        </w:rPr>
        <w:t>。</w:t>
      </w:r>
      <w:r>
        <w:rPr>
          <w:rFonts w:hint="eastAsia"/>
          <w:color w:val="auto"/>
          <w:highlight w:val="none"/>
        </w:rPr>
        <w:t>占权重分</w:t>
      </w:r>
      <w:r>
        <w:rPr>
          <w:color w:val="auto"/>
          <w:highlight w:val="none"/>
        </w:rPr>
        <w:t>1</w:t>
      </w:r>
      <w:r>
        <w:rPr>
          <w:rFonts w:hint="eastAsia"/>
          <w:color w:val="auto"/>
          <w:highlight w:val="none"/>
          <w:lang w:val="en-US" w:eastAsia="zh-CN"/>
        </w:rPr>
        <w:t>2</w:t>
      </w:r>
      <w:r>
        <w:rPr>
          <w:rFonts w:hint="eastAsia"/>
          <w:color w:val="auto"/>
          <w:highlight w:val="none"/>
        </w:rPr>
        <w:t>分，从项目</w:t>
      </w:r>
      <w:r>
        <w:rPr>
          <w:rFonts w:hint="eastAsia"/>
          <w:color w:val="auto"/>
          <w:highlight w:val="none"/>
          <w:lang w:eastAsia="zh-CN"/>
        </w:rPr>
        <w:t>申报</w:t>
      </w:r>
      <w:r>
        <w:rPr>
          <w:rFonts w:hint="eastAsia"/>
          <w:color w:val="auto"/>
          <w:highlight w:val="none"/>
        </w:rPr>
        <w:t>、</w:t>
      </w:r>
      <w:r>
        <w:rPr>
          <w:rFonts w:hint="eastAsia"/>
          <w:color w:val="auto"/>
          <w:highlight w:val="none"/>
          <w:lang w:eastAsia="zh-CN"/>
        </w:rPr>
        <w:t>绩效目标、资金投入三个</w:t>
      </w:r>
      <w:r>
        <w:rPr>
          <w:rFonts w:hint="eastAsia"/>
          <w:color w:val="auto"/>
          <w:highlight w:val="none"/>
        </w:rPr>
        <w:t>方面进行评价分析，主要</w:t>
      </w:r>
      <w:r>
        <w:rPr>
          <w:rFonts w:hint="eastAsia"/>
          <w:color w:val="auto"/>
          <w:highlight w:val="none"/>
          <w:lang w:eastAsia="zh-CN"/>
        </w:rPr>
        <w:t>考核项目申报依据的充分性、项目申报的规范性、绩效目标设定的合理性、绩效指标设定的明确性、预算编制科学性、资金分配合理性等</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rPr>
          <w:color w:val="auto"/>
          <w:highlight w:val="none"/>
        </w:rPr>
      </w:pPr>
      <w:r>
        <w:rPr>
          <w:rFonts w:hint="eastAsia"/>
          <w:b/>
          <w:bCs/>
          <w:color w:val="auto"/>
          <w:highlight w:val="none"/>
        </w:rPr>
        <w:t>2.过程</w:t>
      </w:r>
      <w:r>
        <w:rPr>
          <w:rFonts w:hint="eastAsia"/>
          <w:b/>
          <w:bCs/>
          <w:color w:val="auto"/>
          <w:highlight w:val="none"/>
          <w:lang w:eastAsia="zh-CN"/>
        </w:rPr>
        <w:t>。</w:t>
      </w:r>
      <w:r>
        <w:rPr>
          <w:rFonts w:hint="eastAsia"/>
          <w:color w:val="auto"/>
          <w:highlight w:val="none"/>
        </w:rPr>
        <w:t>占权重分</w:t>
      </w:r>
      <w:r>
        <w:rPr>
          <w:color w:val="auto"/>
          <w:highlight w:val="none"/>
        </w:rPr>
        <w:t>2</w:t>
      </w:r>
      <w:r>
        <w:rPr>
          <w:rFonts w:hint="eastAsia"/>
          <w:color w:val="auto"/>
          <w:highlight w:val="none"/>
          <w:lang w:val="en-US" w:eastAsia="zh-CN"/>
        </w:rPr>
        <w:t>5</w:t>
      </w:r>
      <w:r>
        <w:rPr>
          <w:rFonts w:hint="eastAsia"/>
          <w:color w:val="auto"/>
          <w:highlight w:val="none"/>
        </w:rPr>
        <w:t>分，从</w:t>
      </w:r>
      <w:r>
        <w:rPr>
          <w:rFonts w:hint="eastAsia"/>
          <w:color w:val="auto"/>
          <w:highlight w:val="none"/>
          <w:lang w:eastAsia="zh-CN"/>
        </w:rPr>
        <w:t>资金</w:t>
      </w:r>
      <w:r>
        <w:rPr>
          <w:rFonts w:hint="eastAsia"/>
          <w:color w:val="auto"/>
          <w:highlight w:val="none"/>
        </w:rPr>
        <w:t>管理和</w:t>
      </w:r>
      <w:r>
        <w:rPr>
          <w:rFonts w:hint="eastAsia"/>
          <w:color w:val="auto"/>
          <w:highlight w:val="none"/>
          <w:lang w:eastAsia="zh-CN"/>
        </w:rPr>
        <w:t>组织实施</w:t>
      </w:r>
      <w:r>
        <w:rPr>
          <w:rFonts w:hint="eastAsia"/>
          <w:color w:val="auto"/>
          <w:highlight w:val="none"/>
        </w:rPr>
        <w:t>两个方面进行评价分析，主要</w:t>
      </w:r>
      <w:r>
        <w:rPr>
          <w:rFonts w:hint="eastAsia"/>
          <w:color w:val="auto"/>
          <w:highlight w:val="none"/>
          <w:lang w:eastAsia="zh-CN"/>
        </w:rPr>
        <w:t>考核项目资金到位率、项目预算执行情况、资金使用合规性情况、会计信息质量情况、管理制度制定及执行情况、采购管理及项目档案管理情况等。</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center"/>
        <w:rPr>
          <w:rFonts w:hint="eastAsia" w:eastAsia="仿宋_GB2312" w:asciiTheme="minorEastAsia" w:hAnsiTheme="minorEastAsia" w:cstheme="minorEastAsia"/>
          <w:color w:val="auto"/>
          <w:kern w:val="0"/>
          <w:sz w:val="24"/>
          <w:highlight w:val="none"/>
          <w:lang w:eastAsia="zh-CN"/>
        </w:rPr>
      </w:pPr>
      <w:r>
        <w:rPr>
          <w:rFonts w:hint="eastAsia"/>
          <w:b/>
          <w:bCs/>
          <w:color w:val="auto"/>
          <w:highlight w:val="none"/>
        </w:rPr>
        <w:t>3.产出</w:t>
      </w:r>
      <w:r>
        <w:rPr>
          <w:rFonts w:hint="eastAsia"/>
          <w:b/>
          <w:bCs/>
          <w:color w:val="auto"/>
          <w:highlight w:val="none"/>
          <w:lang w:eastAsia="zh-CN"/>
        </w:rPr>
        <w:t>。</w:t>
      </w:r>
      <w:r>
        <w:rPr>
          <w:rFonts w:hint="eastAsia"/>
          <w:color w:val="auto"/>
          <w:highlight w:val="none"/>
        </w:rPr>
        <w:t>占权重分</w:t>
      </w:r>
      <w:r>
        <w:rPr>
          <w:rFonts w:hint="eastAsia"/>
          <w:color w:val="auto"/>
          <w:highlight w:val="none"/>
          <w:lang w:val="en-US" w:eastAsia="zh-CN"/>
        </w:rPr>
        <w:t>37</w:t>
      </w:r>
      <w:r>
        <w:rPr>
          <w:rFonts w:hint="eastAsia"/>
          <w:color w:val="auto"/>
          <w:highlight w:val="none"/>
        </w:rPr>
        <w:t>分，从产出数量、产出质量、产出时效和产出成本四个方面进行绩效分析，具</w:t>
      </w:r>
      <w:r>
        <w:rPr>
          <w:rFonts w:hint="eastAsia" w:cs="Times New Roman"/>
          <w:color w:val="auto"/>
          <w:highlight w:val="none"/>
        </w:rPr>
        <w:t>体</w:t>
      </w:r>
      <w:r>
        <w:rPr>
          <w:rFonts w:hint="eastAsia" w:cs="Times New Roman"/>
          <w:color w:val="auto"/>
          <w:highlight w:val="none"/>
          <w:lang w:eastAsia="zh-CN"/>
        </w:rPr>
        <w:t>包括系统升级改造、培训、考察调研机构改革的实际完成情况及完成质量，系统升级维护、会议培训、用电保障等产出时效、项目预算成本控制情况等。</w:t>
      </w:r>
    </w:p>
    <w:p>
      <w:pPr>
        <w:keepNext w:val="0"/>
        <w:keepLines w:val="0"/>
        <w:pageBreakBefore w:val="0"/>
        <w:widowControl w:val="0"/>
        <w:kinsoku/>
        <w:wordWrap/>
        <w:overflowPunct/>
        <w:topLinePunct w:val="0"/>
        <w:autoSpaceDE/>
        <w:autoSpaceDN/>
        <w:bidi w:val="0"/>
        <w:adjustRightInd/>
        <w:snapToGrid/>
        <w:spacing w:line="560" w:lineRule="exact"/>
        <w:ind w:firstLine="643"/>
        <w:rPr>
          <w:rFonts w:hint="eastAsia" w:eastAsia="仿宋_GB2312" w:cs="Times New Roman"/>
          <w:color w:val="auto"/>
          <w:highlight w:val="none"/>
          <w:lang w:eastAsia="zh-CN"/>
        </w:rPr>
      </w:pPr>
      <w:r>
        <w:rPr>
          <w:rFonts w:hint="eastAsia"/>
          <w:b/>
          <w:bCs/>
          <w:color w:val="auto"/>
          <w:highlight w:val="none"/>
        </w:rPr>
        <w:t>4.效益</w:t>
      </w:r>
      <w:r>
        <w:rPr>
          <w:rFonts w:hint="eastAsia"/>
          <w:b/>
          <w:bCs/>
          <w:color w:val="auto"/>
          <w:highlight w:val="none"/>
          <w:lang w:eastAsia="zh-CN"/>
        </w:rPr>
        <w:t>。</w:t>
      </w:r>
      <w:r>
        <w:rPr>
          <w:rFonts w:hint="eastAsia" w:cs="Times New Roman"/>
          <w:color w:val="auto"/>
          <w:highlight w:val="none"/>
          <w:lang w:eastAsia="zh-CN"/>
        </w:rPr>
        <w:t>占权重分2</w:t>
      </w:r>
      <w:r>
        <w:rPr>
          <w:rFonts w:hint="eastAsia" w:cs="Times New Roman"/>
          <w:color w:val="auto"/>
          <w:highlight w:val="none"/>
          <w:lang w:val="en-US" w:eastAsia="zh-CN"/>
        </w:rPr>
        <w:t>6</w:t>
      </w:r>
      <w:r>
        <w:rPr>
          <w:rFonts w:hint="eastAsia" w:cs="Times New Roman"/>
          <w:color w:val="auto"/>
          <w:highlight w:val="none"/>
          <w:lang w:eastAsia="zh-CN"/>
        </w:rPr>
        <w:t>分，从经济社会效益、可持续影响、满意度三个方面进行评价分析，主要考核项目实施后在巩固深化机构改革成果、优化编制资源配置、推进重点领域改革、提升机构编制法制意识等方面发挥的社会效益情况，在提升机构编制管理服务水平、建立健全部门协作机制、建立信息共享机制等方面产生的可持续影响作用，以及单位工作人员对</w:t>
      </w:r>
      <w:r>
        <w:rPr>
          <w:rFonts w:hint="eastAsia" w:cs="Times New Roman"/>
          <w:color w:val="auto"/>
          <w:highlight w:val="none"/>
          <w:lang w:val="en-US" w:eastAsia="zh-CN"/>
        </w:rPr>
        <w:t>项目实施</w:t>
      </w:r>
      <w:r>
        <w:rPr>
          <w:rFonts w:hint="eastAsia" w:cs="Times New Roman"/>
          <w:color w:val="auto"/>
          <w:highlight w:val="none"/>
          <w:lang w:eastAsia="zh-CN"/>
        </w:rPr>
        <w:t>的满意度等。</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highlight w:val="none"/>
          <w:lang w:eastAsia="zh-CN"/>
        </w:rPr>
      </w:pPr>
      <w:bookmarkStart w:id="66" w:name="_Toc4057"/>
      <w:bookmarkStart w:id="67" w:name="_Toc28976"/>
      <w:r>
        <w:rPr>
          <w:rFonts w:hint="eastAsia" w:ascii="楷体_GB2312" w:hAnsi="楷体_GB2312" w:eastAsia="楷体_GB2312" w:cs="楷体_GB2312"/>
          <w:b w:val="0"/>
          <w:bCs/>
          <w:color w:val="auto"/>
          <w:highlight w:val="none"/>
          <w:lang w:eastAsia="zh-CN"/>
        </w:rPr>
        <w:t>（七）绩效评价工作过程</w:t>
      </w:r>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_GB2312" w:cs="仿宋_GB2312"/>
          <w:color w:val="auto"/>
          <w:szCs w:val="32"/>
          <w:highlight w:val="none"/>
        </w:rPr>
      </w:pPr>
      <w:r>
        <w:rPr>
          <w:rFonts w:hint="eastAsia"/>
          <w:b/>
          <w:color w:val="auto"/>
          <w:highlight w:val="none"/>
        </w:rPr>
        <w:t>1</w:t>
      </w:r>
      <w:r>
        <w:rPr>
          <w:b/>
          <w:color w:val="auto"/>
          <w:highlight w:val="none"/>
        </w:rPr>
        <w:t>.</w:t>
      </w:r>
      <w:r>
        <w:rPr>
          <w:rFonts w:hint="eastAsia"/>
          <w:b/>
          <w:color w:val="auto"/>
          <w:highlight w:val="none"/>
        </w:rPr>
        <w:t>项目协调推进</w:t>
      </w:r>
      <w:r>
        <w:rPr>
          <w:rFonts w:hint="eastAsia"/>
          <w:b/>
          <w:color w:val="auto"/>
          <w:highlight w:val="none"/>
          <w:lang w:eastAsia="zh-CN"/>
        </w:rPr>
        <w:t>。</w:t>
      </w:r>
      <w:r>
        <w:rPr>
          <w:rFonts w:hint="eastAsia" w:cs="仿宋_GB2312"/>
          <w:color w:val="auto"/>
          <w:szCs w:val="32"/>
          <w:highlight w:val="none"/>
          <w:lang w:eastAsia="zh-CN"/>
        </w:rPr>
        <w:t>省委编办本项目绩效评价相关负责人召开项目绩效评价对接会，明确</w:t>
      </w:r>
      <w:r>
        <w:rPr>
          <w:rFonts w:hint="eastAsia"/>
          <w:color w:val="auto"/>
          <w:highlight w:val="none"/>
          <w:lang w:val="en-US" w:eastAsia="zh-CN"/>
        </w:rPr>
        <w:t>项目</w:t>
      </w:r>
      <w:r>
        <w:rPr>
          <w:rFonts w:hint="eastAsia" w:cs="仿宋_GB2312"/>
          <w:color w:val="auto"/>
          <w:szCs w:val="32"/>
          <w:highlight w:val="none"/>
          <w:lang w:eastAsia="zh-CN"/>
        </w:rPr>
        <w:t>绩效评价要求，</w:t>
      </w:r>
      <w:r>
        <w:rPr>
          <w:rFonts w:hint="eastAsia" w:ascii="仿宋_GB2312" w:hAnsi="仿宋_GB2312" w:cs="仿宋_GB2312"/>
          <w:color w:val="auto"/>
          <w:szCs w:val="32"/>
          <w:highlight w:val="none"/>
        </w:rPr>
        <w:t>统筹安排绩效评价工作</w:t>
      </w:r>
      <w:r>
        <w:rPr>
          <w:rFonts w:hint="eastAsia" w:cs="仿宋_GB2312"/>
          <w:color w:val="auto"/>
          <w:szCs w:val="32"/>
          <w:highlight w:val="none"/>
          <w:lang w:eastAsia="zh-CN"/>
        </w:rPr>
        <w:t>具体实施程序</w:t>
      </w:r>
      <w:r>
        <w:rPr>
          <w:rFonts w:hint="eastAsia" w:ascii="仿宋_GB2312" w:hAnsi="仿宋_GB2312" w:cs="仿宋_GB2312"/>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color w:val="auto"/>
          <w:highlight w:val="none"/>
          <w:lang w:val="en-US" w:eastAsia="zh-CN"/>
        </w:rPr>
      </w:pPr>
      <w:r>
        <w:rPr>
          <w:rFonts w:hint="eastAsia"/>
          <w:b/>
          <w:color w:val="auto"/>
          <w:highlight w:val="none"/>
        </w:rPr>
        <w:t>2</w:t>
      </w:r>
      <w:r>
        <w:rPr>
          <w:b/>
          <w:color w:val="auto"/>
          <w:highlight w:val="none"/>
        </w:rPr>
        <w:t>.</w:t>
      </w:r>
      <w:r>
        <w:rPr>
          <w:rFonts w:hint="eastAsia"/>
          <w:b/>
          <w:color w:val="auto"/>
          <w:highlight w:val="none"/>
        </w:rPr>
        <w:t>项目实地调研</w:t>
      </w:r>
      <w:r>
        <w:rPr>
          <w:rFonts w:hint="eastAsia"/>
          <w:b/>
          <w:color w:val="auto"/>
          <w:highlight w:val="none"/>
          <w:lang w:eastAsia="zh-CN"/>
        </w:rPr>
        <w:t>。</w:t>
      </w:r>
      <w:r>
        <w:rPr>
          <w:rFonts w:hint="eastAsia"/>
          <w:color w:val="auto"/>
          <w:highlight w:val="none"/>
          <w:lang w:val="en-US" w:eastAsia="zh-CN"/>
        </w:rPr>
        <w:t>项目评价组在项目实施单位收集项目申报、组织实施、资金使用等资料的基础上，对项目实际产出及效益发挥情况进行现场评价，同时通过开展受益对象满意度问卷调查，对项目满意度进行调查分析。</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color w:val="auto"/>
          <w:szCs w:val="32"/>
          <w:highlight w:val="none"/>
        </w:rPr>
      </w:pPr>
      <w:r>
        <w:rPr>
          <w:rFonts w:hint="eastAsia"/>
          <w:b/>
          <w:color w:val="auto"/>
          <w:highlight w:val="none"/>
        </w:rPr>
        <w:t>3</w:t>
      </w:r>
      <w:r>
        <w:rPr>
          <w:b/>
          <w:color w:val="auto"/>
          <w:highlight w:val="none"/>
        </w:rPr>
        <w:t>.</w:t>
      </w:r>
      <w:r>
        <w:rPr>
          <w:rFonts w:hint="eastAsia"/>
          <w:b/>
          <w:color w:val="auto"/>
          <w:highlight w:val="none"/>
        </w:rPr>
        <w:t>项目绩效打分</w:t>
      </w:r>
      <w:r>
        <w:rPr>
          <w:rFonts w:hint="eastAsia"/>
          <w:b/>
          <w:color w:val="auto"/>
          <w:highlight w:val="none"/>
          <w:lang w:eastAsia="zh-CN"/>
        </w:rPr>
        <w:t>。</w:t>
      </w:r>
      <w:r>
        <w:rPr>
          <w:rFonts w:hint="eastAsia"/>
          <w:color w:val="auto"/>
          <w:highlight w:val="none"/>
        </w:rPr>
        <w:t>项目评价组根据现场收集资料、</w:t>
      </w:r>
      <w:r>
        <w:rPr>
          <w:rFonts w:hint="eastAsia" w:ascii="仿宋_GB2312" w:hAnsi="仿宋_GB2312" w:cs="仿宋_GB2312"/>
          <w:color w:val="auto"/>
          <w:highlight w:val="none"/>
        </w:rPr>
        <w:t>实地勘查、问卷调查</w:t>
      </w:r>
      <w:r>
        <w:rPr>
          <w:rFonts w:hint="eastAsia"/>
          <w:color w:val="auto"/>
          <w:highlight w:val="none"/>
        </w:rPr>
        <w:t>等方式了解到的项目实际情况，以及通过整理</w:t>
      </w:r>
      <w:r>
        <w:rPr>
          <w:rFonts w:hint="eastAsia"/>
          <w:color w:val="auto"/>
          <w:highlight w:val="none"/>
          <w:lang w:eastAsia="zh-CN"/>
        </w:rPr>
        <w:t>项目</w:t>
      </w:r>
      <w:r>
        <w:rPr>
          <w:rFonts w:hint="eastAsia"/>
          <w:color w:val="auto"/>
          <w:highlight w:val="none"/>
        </w:rPr>
        <w:t>实施单位关于项目</w:t>
      </w:r>
      <w:r>
        <w:rPr>
          <w:rFonts w:hint="eastAsia"/>
          <w:color w:val="auto"/>
          <w:highlight w:val="none"/>
          <w:lang w:eastAsia="zh-CN"/>
        </w:rPr>
        <w:t>组织</w:t>
      </w:r>
      <w:r>
        <w:rPr>
          <w:rFonts w:hint="eastAsia"/>
          <w:color w:val="auto"/>
          <w:highlight w:val="none"/>
        </w:rPr>
        <w:t>实施</w:t>
      </w:r>
      <w:r>
        <w:rPr>
          <w:rFonts w:hint="eastAsia"/>
          <w:color w:val="auto"/>
          <w:highlight w:val="none"/>
          <w:lang w:eastAsia="zh-CN"/>
        </w:rPr>
        <w:t>、项目</w:t>
      </w:r>
      <w:r>
        <w:rPr>
          <w:rFonts w:hint="eastAsia"/>
          <w:color w:val="auto"/>
          <w:highlight w:val="none"/>
        </w:rPr>
        <w:t>资金</w:t>
      </w:r>
      <w:r>
        <w:rPr>
          <w:rFonts w:hint="eastAsia"/>
          <w:color w:val="auto"/>
          <w:highlight w:val="none"/>
          <w:lang w:eastAsia="zh-CN"/>
        </w:rPr>
        <w:t>使用、项目产出效益等佐证材料，</w:t>
      </w:r>
      <w:r>
        <w:rPr>
          <w:rFonts w:hint="eastAsia"/>
          <w:color w:val="auto"/>
          <w:highlight w:val="none"/>
        </w:rPr>
        <w:t>对照绩效评价指标体系，逐项进行绩效打分</w:t>
      </w:r>
      <w:r>
        <w:rPr>
          <w:rFonts w:hint="eastAsia"/>
          <w:color w:val="auto"/>
          <w:highlight w:val="none"/>
          <w:lang w:eastAsia="zh-CN"/>
        </w:rPr>
        <w:t>，</w:t>
      </w:r>
      <w:r>
        <w:rPr>
          <w:rFonts w:hint="eastAsia"/>
          <w:color w:val="auto"/>
          <w:highlight w:val="none"/>
        </w:rPr>
        <w:t>形成最终评分结果。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auto"/>
          <w:highlight w:val="none"/>
        </w:rPr>
      </w:pPr>
      <w:r>
        <w:rPr>
          <w:rFonts w:hint="eastAsia" w:ascii="仿宋_GB2312" w:hAnsi="仿宋_GB2312" w:cs="仿宋_GB2312"/>
          <w:color w:val="auto"/>
          <w:highlight w:val="none"/>
        </w:rPr>
        <w:t>（1）绩效评分采用打分法，总分设置100分。根据不同评价准则、不同评价问题、各评价指标的重要性，相应赋予不同分值。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auto"/>
          <w:highlight w:val="none"/>
        </w:rPr>
      </w:pPr>
      <w:r>
        <w:rPr>
          <w:rFonts w:hint="eastAsia" w:ascii="仿宋_GB2312" w:hAnsi="仿宋_GB2312" w:cs="仿宋_GB2312"/>
          <w:color w:val="auto"/>
          <w:highlight w:val="none"/>
        </w:rPr>
        <w:t>（2）根据评分标准，达到要求的指标记标准分满分，不能达到标准的按照评分标准进行打分，得分最低为0分。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（3）根据</w:t>
      </w:r>
      <w:r>
        <w:rPr>
          <w:rFonts w:hint="eastAsia"/>
          <w:bCs/>
          <w:color w:val="auto"/>
          <w:szCs w:val="32"/>
          <w:highlight w:val="none"/>
        </w:rPr>
        <w:t>财政部关于印发</w:t>
      </w:r>
      <w:r>
        <w:rPr>
          <w:rFonts w:hint="eastAsia" w:cs="仿宋_GB2312"/>
          <w:color w:val="auto"/>
          <w:szCs w:val="32"/>
          <w:highlight w:val="none"/>
        </w:rPr>
        <w:t>&lt;</w:t>
      </w:r>
      <w:r>
        <w:rPr>
          <w:rFonts w:hint="eastAsia"/>
          <w:bCs/>
          <w:color w:val="auto"/>
          <w:szCs w:val="32"/>
          <w:highlight w:val="none"/>
        </w:rPr>
        <w:t>项目支出绩效评价管理办法&gt;的通知》（财预〔2020〕10号）</w:t>
      </w:r>
      <w:r>
        <w:rPr>
          <w:rFonts w:hint="eastAsia" w:ascii="仿宋_GB2312" w:hAnsi="仿宋_GB2312" w:cs="仿宋_GB2312"/>
          <w:color w:val="auto"/>
          <w:highlight w:val="none"/>
        </w:rPr>
        <w:t>文件，绩效评价结果采用评分和评级相结合的方式，总分设置为100分，等级划分为</w:t>
      </w:r>
      <w:r>
        <w:rPr>
          <w:rFonts w:hint="eastAsia" w:cs="仿宋_GB2312"/>
          <w:color w:val="auto"/>
          <w:highlight w:val="none"/>
          <w:lang w:eastAsia="zh-CN"/>
        </w:rPr>
        <w:t>以下</w:t>
      </w:r>
      <w:r>
        <w:rPr>
          <w:rFonts w:hint="eastAsia" w:ascii="仿宋_GB2312" w:hAnsi="仿宋_GB2312" w:cs="仿宋_GB2312"/>
          <w:color w:val="auto"/>
          <w:highlight w:val="none"/>
        </w:rPr>
        <w:t>四档：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color w:val="auto"/>
          <w:highlight w:val="none"/>
          <w:lang w:eastAsia="zh-CN"/>
        </w:rPr>
      </w:pPr>
      <w:r>
        <w:rPr>
          <w:rFonts w:hint="eastAsia" w:ascii="仿宋_GB2312" w:hAnsi="仿宋_GB2312" w:cs="仿宋_GB2312"/>
          <w:color w:val="auto"/>
          <w:highlight w:val="none"/>
        </w:rPr>
        <w:t>优</w:t>
      </w:r>
      <w:r>
        <w:rPr>
          <w:rFonts w:hint="eastAsia" w:cs="仿宋_GB2312"/>
          <w:color w:val="auto"/>
          <w:highlight w:val="none"/>
          <w:lang w:eastAsia="zh-CN"/>
        </w:rPr>
        <w:t>：</w:t>
      </w:r>
      <w:r>
        <w:rPr>
          <w:rFonts w:hint="eastAsia" w:ascii="仿宋_GB2312" w:hAnsi="仿宋_GB2312" w:cs="仿宋_GB2312"/>
          <w:color w:val="auto"/>
          <w:highlight w:val="none"/>
        </w:rPr>
        <w:t>90分（含）-100分</w:t>
      </w:r>
      <w:r>
        <w:rPr>
          <w:rFonts w:hint="eastAsia"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cs="仿宋_GB2312"/>
          <w:color w:val="auto"/>
          <w:highlight w:val="none"/>
        </w:rPr>
        <w:t>良</w:t>
      </w:r>
      <w:r>
        <w:rPr>
          <w:rFonts w:hint="eastAsia" w:cs="仿宋_GB2312"/>
          <w:color w:val="auto"/>
          <w:highlight w:val="none"/>
          <w:lang w:eastAsia="zh-CN"/>
        </w:rPr>
        <w:t>：</w:t>
      </w:r>
      <w:r>
        <w:rPr>
          <w:rFonts w:hint="eastAsia" w:ascii="仿宋_GB2312" w:hAnsi="仿宋_GB2312" w:cs="仿宋_GB2312"/>
          <w:color w:val="auto"/>
          <w:highlight w:val="none"/>
        </w:rPr>
        <w:t>80分（含）-90分</w:t>
      </w:r>
      <w:r>
        <w:rPr>
          <w:rFonts w:hint="eastAsia"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color w:val="auto"/>
          <w:highlight w:val="none"/>
          <w:lang w:eastAsia="zh-CN"/>
        </w:rPr>
      </w:pPr>
      <w:r>
        <w:rPr>
          <w:rFonts w:hint="eastAsia" w:ascii="仿宋_GB2312" w:hAnsi="仿宋_GB2312" w:cs="仿宋_GB2312"/>
          <w:color w:val="auto"/>
          <w:highlight w:val="none"/>
        </w:rPr>
        <w:t>中</w:t>
      </w:r>
      <w:r>
        <w:rPr>
          <w:rFonts w:hint="eastAsia" w:cs="仿宋_GB2312"/>
          <w:color w:val="auto"/>
          <w:highlight w:val="none"/>
          <w:lang w:eastAsia="zh-CN"/>
        </w:rPr>
        <w:t>：</w:t>
      </w:r>
      <w:r>
        <w:rPr>
          <w:rFonts w:hint="eastAsia" w:ascii="仿宋_GB2312" w:hAnsi="仿宋_GB2312" w:cs="仿宋_GB2312"/>
          <w:color w:val="auto"/>
          <w:highlight w:val="none"/>
        </w:rPr>
        <w:t>60分（含）-80分</w:t>
      </w:r>
      <w:r>
        <w:rPr>
          <w:rFonts w:hint="eastAsia"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差</w:t>
      </w:r>
      <w:r>
        <w:rPr>
          <w:rFonts w:hint="eastAsia" w:cs="仿宋_GB2312"/>
          <w:color w:val="auto"/>
          <w:highlight w:val="none"/>
          <w:lang w:eastAsia="zh-CN"/>
        </w:rPr>
        <w:t>：</w:t>
      </w:r>
      <w:r>
        <w:rPr>
          <w:rFonts w:hint="eastAsia" w:ascii="仿宋_GB2312" w:hAnsi="仿宋_GB2312" w:cs="仿宋_GB2312"/>
          <w:color w:val="auto"/>
          <w:highlight w:val="none"/>
        </w:rPr>
        <w:t>60分以下为</w:t>
      </w:r>
      <w:r>
        <w:rPr>
          <w:rFonts w:hint="eastAsia" w:cs="仿宋_GB2312"/>
          <w:color w:val="auto"/>
          <w:highlight w:val="none"/>
          <w:lang w:eastAsia="zh-CN"/>
        </w:rPr>
        <w:t>差</w:t>
      </w:r>
      <w:r>
        <w:rPr>
          <w:rFonts w:hint="eastAsia" w:ascii="仿宋_GB2312" w:hAnsi="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highlight w:val="none"/>
        </w:rPr>
      </w:pPr>
      <w:r>
        <w:rPr>
          <w:rFonts w:hint="eastAsia" w:ascii="仿宋_GB2312" w:hAnsi="仿宋_GB2312" w:cs="仿宋_GB2312"/>
          <w:color w:val="auto"/>
          <w:highlight w:val="none"/>
        </w:rPr>
        <w:t>根据</w:t>
      </w:r>
      <w:r>
        <w:rPr>
          <w:rFonts w:hint="eastAsia" w:cs="仿宋_GB2312"/>
          <w:color w:val="auto"/>
          <w:highlight w:val="none"/>
          <w:lang w:eastAsia="zh-CN"/>
        </w:rPr>
        <w:t>各评价指标得分</w:t>
      </w:r>
      <w:r>
        <w:rPr>
          <w:rFonts w:hint="eastAsia" w:ascii="仿宋_GB2312" w:hAnsi="仿宋_GB2312" w:cs="仿宋_GB2312"/>
          <w:color w:val="auto"/>
          <w:highlight w:val="none"/>
        </w:rPr>
        <w:t>分值</w:t>
      </w:r>
      <w:r>
        <w:rPr>
          <w:rFonts w:hint="eastAsia" w:cs="仿宋_GB2312"/>
          <w:color w:val="auto"/>
          <w:highlight w:val="none"/>
          <w:lang w:eastAsia="zh-CN"/>
        </w:rPr>
        <w:t>的总和</w:t>
      </w:r>
      <w:r>
        <w:rPr>
          <w:rFonts w:hint="eastAsia" w:ascii="仿宋_GB2312" w:hAnsi="仿宋_GB2312" w:cs="仿宋_GB2312"/>
          <w:color w:val="auto"/>
          <w:highlight w:val="none"/>
        </w:rPr>
        <w:t>，确定评价对象最后达到的</w:t>
      </w:r>
      <w:r>
        <w:rPr>
          <w:rFonts w:hint="eastAsia" w:cs="仿宋_GB2312"/>
          <w:color w:val="auto"/>
          <w:highlight w:val="none"/>
          <w:lang w:eastAsia="zh-CN"/>
        </w:rPr>
        <w:t>评价等级</w:t>
      </w:r>
      <w:r>
        <w:rPr>
          <w:rFonts w:hint="eastAsia" w:ascii="仿宋_GB2312" w:hAnsi="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b/>
          <w:bCs w:val="0"/>
          <w:color w:val="auto"/>
          <w:highlight w:val="none"/>
        </w:rPr>
      </w:pPr>
      <w:r>
        <w:rPr>
          <w:rFonts w:hint="eastAsia"/>
          <w:b/>
          <w:bCs w:val="0"/>
          <w:color w:val="auto"/>
          <w:highlight w:val="none"/>
        </w:rPr>
        <w:t>4</w:t>
      </w:r>
      <w:r>
        <w:rPr>
          <w:b/>
          <w:bCs w:val="0"/>
          <w:color w:val="auto"/>
          <w:highlight w:val="none"/>
        </w:rPr>
        <w:t>.</w:t>
      </w:r>
      <w:r>
        <w:rPr>
          <w:rFonts w:hint="eastAsia"/>
          <w:b/>
          <w:bCs w:val="0"/>
          <w:color w:val="auto"/>
          <w:highlight w:val="none"/>
        </w:rPr>
        <w:t>撰写评价报告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color w:val="auto"/>
          <w:highlight w:val="none"/>
        </w:rPr>
      </w:pPr>
      <w:r>
        <w:rPr>
          <w:rFonts w:hint="eastAsia" w:ascii="仿宋_GB2312" w:hAnsi="Geneva" w:cs="仿宋_GB2312"/>
          <w:color w:val="auto"/>
          <w:kern w:val="0"/>
          <w:szCs w:val="32"/>
          <w:highlight w:val="none"/>
        </w:rPr>
        <w:t>（1）数据整理分析</w:t>
      </w:r>
      <w:r>
        <w:rPr>
          <w:rFonts w:hint="eastAsia" w:hAnsi="Geneva" w:cs="仿宋_GB2312"/>
          <w:color w:val="auto"/>
          <w:kern w:val="0"/>
          <w:szCs w:val="32"/>
          <w:highlight w:val="none"/>
          <w:lang w:eastAsia="zh-CN"/>
        </w:rPr>
        <w:t>。</w:t>
      </w:r>
      <w:r>
        <w:rPr>
          <w:rFonts w:hint="eastAsia" w:ascii="Times New Roman" w:hAnsi="Times New Roman" w:cs="Times New Roman"/>
          <w:color w:val="auto"/>
          <w:highlight w:val="none"/>
        </w:rPr>
        <w:t>项目评价组就项目评价实施阶段收集的资料</w:t>
      </w:r>
      <w:r>
        <w:rPr>
          <w:rFonts w:hint="eastAsia" w:ascii="Times New Roman" w:hAnsi="Times New Roman" w:cs="Times New Roman"/>
          <w:color w:val="auto"/>
          <w:highlight w:val="none"/>
          <w:lang w:eastAsia="zh-CN"/>
        </w:rPr>
        <w:t>及</w:t>
      </w:r>
      <w:r>
        <w:rPr>
          <w:rFonts w:hint="eastAsia" w:ascii="Times New Roman" w:hAnsi="Times New Roman" w:cs="Times New Roman"/>
          <w:color w:val="auto"/>
          <w:highlight w:val="none"/>
        </w:rPr>
        <w:t>问卷访谈结果等进行分类整理。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cs="仿宋"/>
          <w:b/>
          <w:bCs/>
          <w:color w:val="auto"/>
          <w:szCs w:val="32"/>
          <w:highlight w:val="none"/>
        </w:rPr>
      </w:pPr>
      <w:r>
        <w:rPr>
          <w:rFonts w:hint="eastAsia" w:ascii="仿宋_GB2312" w:hAnsi="Geneva" w:cs="仿宋_GB2312"/>
          <w:color w:val="auto"/>
          <w:kern w:val="0"/>
          <w:szCs w:val="32"/>
          <w:highlight w:val="none"/>
        </w:rPr>
        <w:t>（2）撰写报告初稿</w:t>
      </w:r>
      <w:r>
        <w:rPr>
          <w:rFonts w:hint="eastAsia" w:hAnsi="Geneva" w:cs="仿宋_GB2312"/>
          <w:color w:val="auto"/>
          <w:kern w:val="0"/>
          <w:szCs w:val="32"/>
          <w:highlight w:val="none"/>
          <w:lang w:eastAsia="zh-CN"/>
        </w:rPr>
        <w:t>。</w:t>
      </w:r>
      <w:r>
        <w:rPr>
          <w:rFonts w:hint="eastAsia" w:ascii="仿宋_GB2312" w:hAnsi="仿宋_GB2312" w:cs="仿宋_GB2312"/>
          <w:color w:val="auto"/>
          <w:szCs w:val="32"/>
          <w:highlight w:val="none"/>
        </w:rPr>
        <w:t>按照拟定的报告提纲，以数据为支撑，参考相关文件资料，挈领提纲、突出要点、提炼亮点，分点陈述存在的问题并提出针对性强的建议。在约定的时期内撰写格式规范、内容完整、结论明确的绩效评价报告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cs="仿宋"/>
          <w:color w:val="auto"/>
          <w:szCs w:val="32"/>
          <w:highlight w:val="none"/>
        </w:rPr>
      </w:pPr>
      <w:r>
        <w:rPr>
          <w:rFonts w:hint="eastAsia" w:ascii="仿宋_GB2312" w:hAnsi="Geneva" w:cs="仿宋_GB2312"/>
          <w:color w:val="auto"/>
          <w:kern w:val="0"/>
          <w:szCs w:val="32"/>
          <w:highlight w:val="none"/>
        </w:rPr>
        <w:t>（3）最终定稿</w:t>
      </w:r>
      <w:r>
        <w:rPr>
          <w:rFonts w:hint="eastAsia" w:hAnsi="Geneva" w:cs="仿宋_GB2312"/>
          <w:color w:val="auto"/>
          <w:kern w:val="0"/>
          <w:szCs w:val="32"/>
          <w:highlight w:val="none"/>
          <w:lang w:eastAsia="zh-CN"/>
        </w:rPr>
        <w:t>。</w:t>
      </w:r>
      <w:r>
        <w:rPr>
          <w:rFonts w:hint="eastAsia" w:ascii="仿宋_GB2312" w:hAnsi="Geneva" w:cs="仿宋_GB2312"/>
          <w:color w:val="auto"/>
          <w:kern w:val="0"/>
          <w:szCs w:val="32"/>
          <w:highlight w:val="none"/>
        </w:rPr>
        <w:t>根据各方</w:t>
      </w:r>
      <w:r>
        <w:rPr>
          <w:rFonts w:hint="eastAsia" w:ascii="仿宋_GB2312" w:hAnsi="华文仿宋" w:cs="仿宋"/>
          <w:color w:val="auto"/>
          <w:szCs w:val="32"/>
          <w:highlight w:val="none"/>
        </w:rPr>
        <w:t>修改意见，完善报告内容，并最终定稿。</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黑体" w:hAnsi="黑体" w:eastAsia="黑体" w:cs="黑体"/>
          <w:b w:val="0"/>
          <w:bCs w:val="0"/>
          <w:color w:val="auto"/>
          <w:sz w:val="32"/>
          <w:szCs w:val="32"/>
          <w:highlight w:val="none"/>
          <w:lang w:val="en-US" w:eastAsia="zh-CN"/>
        </w:rPr>
      </w:pPr>
      <w:bookmarkStart w:id="68" w:name="_Toc28299"/>
      <w:bookmarkStart w:id="69" w:name="_Toc9787"/>
      <w:bookmarkStart w:id="70" w:name="_Toc30755"/>
      <w:r>
        <w:rPr>
          <w:rFonts w:hint="eastAsia"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lang w:val="en-US" w:eastAsia="zh-CN"/>
        </w:rPr>
        <w:t>、评价结论</w:t>
      </w:r>
      <w:r>
        <w:rPr>
          <w:rFonts w:hint="eastAsia" w:cs="黑体"/>
          <w:b w:val="0"/>
          <w:bCs w:val="0"/>
          <w:color w:val="auto"/>
          <w:sz w:val="32"/>
          <w:szCs w:val="32"/>
          <w:highlight w:val="none"/>
          <w:lang w:val="en-US" w:eastAsia="zh-CN"/>
        </w:rPr>
        <w:t>及绩效分析</w:t>
      </w:r>
      <w:bookmarkEnd w:id="68"/>
      <w:bookmarkEnd w:id="69"/>
      <w:bookmarkEnd w:id="70"/>
      <w:r>
        <w:rPr>
          <w:rFonts w:hint="eastAsia" w:cs="黑体"/>
          <w:b w:val="0"/>
          <w:bCs w:val="0"/>
          <w:color w:val="auto"/>
          <w:sz w:val="32"/>
          <w:szCs w:val="32"/>
          <w:highlight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auto"/>
          <w:highlight w:val="none"/>
          <w:lang w:eastAsia="zh-CN"/>
        </w:rPr>
      </w:pPr>
      <w:bookmarkStart w:id="71" w:name="_Toc13318"/>
      <w:bookmarkStart w:id="72" w:name="_Toc30386"/>
      <w:r>
        <w:rPr>
          <w:rFonts w:hint="eastAsia" w:ascii="楷体_GB2312" w:hAnsi="楷体_GB2312" w:eastAsia="楷体_GB2312" w:cs="楷体_GB2312"/>
          <w:b w:val="0"/>
          <w:bCs/>
          <w:color w:val="auto"/>
          <w:highlight w:val="none"/>
          <w:lang w:eastAsia="zh-CN"/>
        </w:rPr>
        <w:t>（一）评价评分</w:t>
      </w:r>
      <w:bookmarkEnd w:id="71"/>
      <w:bookmarkEnd w:id="72"/>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省委编办</w:t>
      </w:r>
      <w:r>
        <w:rPr>
          <w:rFonts w:hint="eastAsia" w:ascii="宋体" w:hAnsi="宋体" w:eastAsia="宋体" w:cs="宋体"/>
          <w:b/>
          <w:bCs/>
          <w:color w:val="auto"/>
          <w:sz w:val="28"/>
          <w:szCs w:val="28"/>
          <w:highlight w:val="none"/>
          <w:lang w:val="en-US" w:eastAsia="zh-CN"/>
        </w:rPr>
        <w:t>2021年业务费项目</w:t>
      </w:r>
      <w:r>
        <w:rPr>
          <w:rFonts w:hint="eastAsia" w:ascii="宋体" w:hAnsi="宋体" w:eastAsia="宋体" w:cs="宋体"/>
          <w:b/>
          <w:bCs/>
          <w:color w:val="auto"/>
          <w:sz w:val="28"/>
          <w:szCs w:val="28"/>
          <w:highlight w:val="none"/>
        </w:rPr>
        <w:t>绩效评价综合评分表</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9"/>
        <w:gridCol w:w="715"/>
        <w:gridCol w:w="1436"/>
        <w:gridCol w:w="768"/>
        <w:gridCol w:w="2902"/>
        <w:gridCol w:w="848"/>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blHeader/>
          <w:jc w:val="center"/>
        </w:trPr>
        <w:tc>
          <w:tcPr>
            <w:tcW w:w="849" w:type="dxa"/>
            <w:shd w:val="clear" w:color="auto" w:fill="BEBEB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一级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指标</w:t>
            </w:r>
          </w:p>
        </w:tc>
        <w:tc>
          <w:tcPr>
            <w:tcW w:w="715" w:type="dxa"/>
            <w:shd w:val="clear" w:color="auto" w:fill="BEBEB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分值</w:t>
            </w:r>
          </w:p>
        </w:tc>
        <w:tc>
          <w:tcPr>
            <w:tcW w:w="1436" w:type="dxa"/>
            <w:shd w:val="clear" w:color="auto" w:fill="BEBEB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二级指标</w:t>
            </w:r>
          </w:p>
        </w:tc>
        <w:tc>
          <w:tcPr>
            <w:tcW w:w="768" w:type="dxa"/>
            <w:shd w:val="clear" w:color="auto" w:fill="BEBEB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分值</w:t>
            </w:r>
          </w:p>
        </w:tc>
        <w:tc>
          <w:tcPr>
            <w:tcW w:w="2902" w:type="dxa"/>
            <w:shd w:val="clear" w:color="auto" w:fill="BEBEB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三级指标</w:t>
            </w:r>
          </w:p>
        </w:tc>
        <w:tc>
          <w:tcPr>
            <w:tcW w:w="848" w:type="dxa"/>
            <w:shd w:val="clear" w:color="auto" w:fill="BEBEB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t>分值</w:t>
            </w:r>
          </w:p>
        </w:tc>
        <w:tc>
          <w:tcPr>
            <w:tcW w:w="810" w:type="dxa"/>
            <w:shd w:val="clear" w:color="auto" w:fill="BEBEB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决策</w:t>
            </w:r>
          </w:p>
        </w:tc>
        <w:tc>
          <w:tcPr>
            <w:tcW w:w="715"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143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eastAsia="zh-CN"/>
              </w:rPr>
              <w:t>项目申报</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申报依据充分性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p>
        </w:tc>
        <w:tc>
          <w:tcPr>
            <w:tcW w:w="143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项目申报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eastAsia="zh-CN"/>
              </w:rPr>
              <w:t>绩效目标</w:t>
            </w: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eastAsia="zh-CN"/>
              </w:rPr>
              <w:t>申报程序</w:t>
            </w:r>
            <w:r>
              <w:rPr>
                <w:rFonts w:hint="eastAsia" w:ascii="宋体" w:hAnsi="宋体" w:eastAsia="宋体" w:cs="宋体"/>
                <w:color w:val="auto"/>
                <w:kern w:val="0"/>
                <w:sz w:val="28"/>
                <w:szCs w:val="28"/>
                <w:highlight w:val="none"/>
              </w:rPr>
              <w:t>规范性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p>
        </w:tc>
        <w:tc>
          <w:tcPr>
            <w:tcW w:w="143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eastAsia="zh-CN"/>
              </w:rPr>
              <w:t>绩效目标</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绩效目标合理性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绩效指标明确性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资金投入</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2902"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bidi="ar"/>
              </w:rPr>
              <w:t>预算编制科学性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bidi="ar"/>
              </w:rPr>
              <w:t>资金分配合理性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过程</w:t>
            </w:r>
          </w:p>
        </w:tc>
        <w:tc>
          <w:tcPr>
            <w:tcW w:w="715"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w:t>
            </w: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资金管理</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资金到位率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预算执行率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rPr>
              <w:t>资金使用合规性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SA"/>
              </w:rPr>
              <w:t>会计信息质量</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4</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组织实施</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10</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rPr>
              <w:t>管理制度健全性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rPr>
              <w:t>制度执行有效性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采购管理合规性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档案管理规范性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产出</w:t>
            </w:r>
          </w:p>
        </w:tc>
        <w:tc>
          <w:tcPr>
            <w:tcW w:w="715"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37</w:t>
            </w: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产出数量</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17</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系统升级改造完成率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培训任务完成率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考察调研任务完成率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机构改革任务完成率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产出质量</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auto"/>
                <w:kern w:val="0"/>
                <w:sz w:val="28"/>
                <w:szCs w:val="28"/>
                <w:highlight w:val="none"/>
                <w:lang w:val="en-US" w:eastAsia="zh-CN"/>
              </w:rPr>
              <w:t>12</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实名制管理覆盖率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信息化系统正常运行率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培训覆盖率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考察调研覆盖率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维修（护）质量达标率</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产出时效</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系统升级维护及时性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会议培训及时性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用电保障及时性</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产出成本</w:t>
            </w:r>
          </w:p>
        </w:tc>
        <w:tc>
          <w:tcPr>
            <w:tcW w:w="768"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预算成本控制</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w:t>
            </w:r>
          </w:p>
        </w:tc>
        <w:tc>
          <w:tcPr>
            <w:tcW w:w="810" w:type="dxa"/>
            <w:noWrap w:val="0"/>
            <w:tcMar>
              <w:top w:w="15" w:type="dxa"/>
              <w:left w:w="15" w:type="dxa"/>
              <w:right w:w="15" w:type="dxa"/>
            </w:tcMar>
            <w:vAlign w:val="center"/>
          </w:tcPr>
          <w:p>
            <w:pPr>
              <w:spacing w:line="240" w:lineRule="auto"/>
              <w:ind w:firstLine="0" w:firstLineChars="0"/>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效益</w:t>
            </w:r>
          </w:p>
        </w:tc>
        <w:tc>
          <w:tcPr>
            <w:tcW w:w="715"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w:t>
            </w: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社会效益</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12</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rPr>
              <w:t>巩固深化机构改革成果</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优化编制资源配置</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推进重点领域改革</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强化机构编制纪律监督</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可持续影响</w:t>
            </w:r>
          </w:p>
        </w:tc>
        <w:tc>
          <w:tcPr>
            <w:tcW w:w="768" w:type="dxa"/>
            <w:vMerge w:val="restart"/>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提升机构编制管理服务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bidi="ar-SA"/>
              </w:rPr>
              <w:t>水平</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建立健全部门协作机制</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768"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建立信息共享机制</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715" w:type="dxa"/>
            <w:vMerge w:val="continue"/>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0"/>
              <w:jc w:val="center"/>
              <w:rPr>
                <w:rFonts w:hint="eastAsia" w:ascii="宋体" w:hAnsi="宋体" w:eastAsia="宋体" w:cs="宋体"/>
                <w:color w:val="auto"/>
                <w:sz w:val="28"/>
                <w:szCs w:val="28"/>
                <w:highlight w:val="none"/>
              </w:rPr>
            </w:pPr>
          </w:p>
        </w:tc>
        <w:tc>
          <w:tcPr>
            <w:tcW w:w="1436"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满意度</w:t>
            </w:r>
          </w:p>
        </w:tc>
        <w:tc>
          <w:tcPr>
            <w:tcW w:w="768"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p>
        </w:tc>
        <w:tc>
          <w:tcPr>
            <w:tcW w:w="290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工作人员满意度</w:t>
            </w:r>
          </w:p>
        </w:tc>
        <w:tc>
          <w:tcPr>
            <w:tcW w:w="84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w:t>
            </w:r>
          </w:p>
        </w:tc>
        <w:tc>
          <w:tcPr>
            <w:tcW w:w="81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6670" w:type="dxa"/>
            <w:gridSpan w:val="5"/>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482"/>
              <w:jc w:val="center"/>
              <w:textAlignment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合计</w:t>
            </w:r>
          </w:p>
        </w:tc>
        <w:tc>
          <w:tcPr>
            <w:tcW w:w="848"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100</w:t>
            </w:r>
          </w:p>
        </w:tc>
        <w:tc>
          <w:tcPr>
            <w:tcW w:w="810" w:type="dxa"/>
            <w:noWrap w:val="0"/>
            <w:tcMar>
              <w:top w:w="15" w:type="dxa"/>
              <w:left w:w="15" w:type="dxa"/>
              <w:right w:w="15" w:type="dxa"/>
            </w:tcMar>
            <w:vAlign w:val="center"/>
          </w:tcPr>
          <w:p>
            <w:pPr>
              <w:keepNext w:val="0"/>
              <w:keepLines w:val="0"/>
              <w:pageBreakBefore w:val="0"/>
              <w:widowControl w:val="0"/>
              <w:kinsoku/>
              <w:overflowPunct/>
              <w:topLinePunct w:val="0"/>
              <w:autoSpaceDE/>
              <w:autoSpaceDN/>
              <w:bidi w:val="0"/>
              <w:spacing w:line="240" w:lineRule="auto"/>
              <w:ind w:firstLine="0" w:firstLineChars="0"/>
              <w:jc w:val="center"/>
              <w:textAlignment w:val="cente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96.7</w:t>
            </w:r>
          </w:p>
        </w:tc>
      </w:tr>
    </w:tbl>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color w:val="FF0000"/>
          <w:highlight w:val="none"/>
          <w:lang w:eastAsia="zh-CN"/>
        </w:rPr>
      </w:pPr>
      <w:bookmarkStart w:id="73" w:name="_Toc15763"/>
      <w:bookmarkStart w:id="74" w:name="_Toc24123"/>
      <w:r>
        <w:rPr>
          <w:rFonts w:hint="eastAsia" w:ascii="楷体_GB2312" w:hAnsi="楷体_GB2312" w:eastAsia="楷体_GB2312" w:cs="楷体_GB2312"/>
          <w:b w:val="0"/>
          <w:bCs/>
          <w:color w:val="auto"/>
          <w:highlight w:val="none"/>
          <w:lang w:eastAsia="zh-CN"/>
        </w:rPr>
        <w:t>（二）综合评价情况及评价结论</w:t>
      </w:r>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none"/>
        </w:rPr>
      </w:pPr>
      <w:r>
        <w:rPr>
          <w:rFonts w:hint="eastAsia"/>
          <w:color w:val="auto"/>
          <w:highlight w:val="none"/>
        </w:rPr>
        <w:t>本次项目绩效评价的可靠性是基于佐证材料的全面性和准确性。</w:t>
      </w:r>
      <w:r>
        <w:rPr>
          <w:rFonts w:hint="eastAsia"/>
          <w:color w:val="auto"/>
          <w:highlight w:val="none"/>
          <w:lang w:eastAsia="zh-CN"/>
        </w:rPr>
        <w:t>项目</w:t>
      </w:r>
      <w:r>
        <w:rPr>
          <w:rFonts w:hint="eastAsia"/>
          <w:color w:val="auto"/>
          <w:highlight w:val="none"/>
        </w:rPr>
        <w:t>评价组全力收集全面、有效、准确的文件和数据，结合实地调研和问卷调查等方式尽可能做出可靠的评价结论。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auto"/>
          <w:highlight w:val="yellow"/>
        </w:rPr>
      </w:pPr>
      <w:r>
        <w:rPr>
          <w:rFonts w:hint="eastAsia"/>
          <w:color w:val="auto"/>
          <w:highlight w:val="none"/>
        </w:rPr>
        <w:t>项目评价组基于佐证材料的全面性和准确性，严格按照绩效评价指标体系，结合实际了解到的项目情况，计算出评价得分为：</w:t>
      </w:r>
      <w:r>
        <w:rPr>
          <w:rFonts w:hint="eastAsia"/>
          <w:b/>
          <w:bCs/>
          <w:color w:val="auto"/>
          <w:highlight w:val="none"/>
          <w:lang w:val="en-US" w:eastAsia="zh-CN"/>
        </w:rPr>
        <w:t>96.7</w:t>
      </w:r>
      <w:r>
        <w:rPr>
          <w:rFonts w:hint="eastAsia"/>
          <w:b/>
          <w:bCs/>
          <w:color w:val="auto"/>
          <w:highlight w:val="none"/>
        </w:rPr>
        <w:t>分</w:t>
      </w:r>
      <w:r>
        <w:rPr>
          <w:rFonts w:hint="eastAsia"/>
          <w:color w:val="auto"/>
          <w:highlight w:val="none"/>
        </w:rPr>
        <w:t>。根据《财政部关于印发&lt;项目支出绩效评价管理办法&gt;的通知》（财预〔2020〕10号）文件，本次项目绩效评价结果等级为：</w:t>
      </w:r>
      <w:r>
        <w:rPr>
          <w:rFonts w:hint="eastAsia"/>
          <w:b/>
          <w:bCs/>
          <w:color w:val="auto"/>
          <w:highlight w:val="none"/>
          <w:lang w:val="en-US" w:eastAsia="zh-CN"/>
        </w:rPr>
        <w:t>优</w:t>
      </w:r>
      <w:r>
        <w:rPr>
          <w:rFonts w:hint="eastAsia"/>
          <w:b/>
          <w:bCs/>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3"/>
        <w:textAlignment w:val="auto"/>
        <w:rPr>
          <w:rFonts w:hint="eastAsia" w:ascii="仿宋_GB2312" w:hAnsi="仿宋_GB2312" w:eastAsia="仿宋_GB2312" w:cs="仿宋_GB2312"/>
          <w:color w:val="auto"/>
          <w:highlight w:val="yellow"/>
          <w:lang w:val="en-US" w:eastAsia="zh-CN"/>
        </w:rPr>
      </w:pPr>
      <w:r>
        <w:rPr>
          <w:rFonts w:hint="eastAsia" w:ascii="仿宋_GB2312" w:hAnsi="仿宋_GB2312" w:eastAsia="仿宋_GB2312" w:cs="仿宋_GB2312"/>
          <w:color w:val="auto"/>
          <w:highlight w:val="none"/>
          <w:lang w:val="en-US" w:eastAsia="zh-CN"/>
        </w:rPr>
        <w:t>总体认为，</w:t>
      </w:r>
      <w:r>
        <w:rPr>
          <w:rFonts w:hint="eastAsia" w:cs="仿宋_GB2312"/>
          <w:color w:val="auto"/>
          <w:highlight w:val="none"/>
          <w:lang w:val="en-US" w:eastAsia="zh-CN"/>
        </w:rPr>
        <w:t>省委编办2021年业务费项目申报依据充分，申报程序规范，绩效目标依据充分，绩效指标清晰、可衡量，项目管理制度和财务管理制度健全且管理规范，政府采购合规，资金使用合规，不存在截留、挤占、挪用、虚列支出等情况，会计信息真实完整，项目产出和效益达到预期目标。但同时存在预算编制的科学性和精细化水平有待提高，预算额度分解无明确标准，预算资金分配无相关测算依据，预算执行不彻底，未充分发挥资金使用效益等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b/>
          <w:bCs/>
          <w:color w:val="auto"/>
          <w:highlight w:val="none"/>
          <w:lang w:val="en-US" w:eastAsia="zh-CN"/>
        </w:rPr>
        <w:t>1.</w:t>
      </w:r>
      <w:r>
        <w:rPr>
          <w:rFonts w:hint="eastAsia"/>
          <w:b/>
          <w:bCs/>
          <w:color w:val="auto"/>
          <w:highlight w:val="none"/>
        </w:rPr>
        <w:t>决策方面。</w:t>
      </w:r>
      <w:r>
        <w:rPr>
          <w:rFonts w:hint="eastAsia" w:cs="仿宋_GB2312"/>
          <w:color w:val="auto"/>
          <w:highlight w:val="none"/>
          <w:lang w:val="en-US" w:eastAsia="zh-CN"/>
        </w:rPr>
        <w:t>省委编办2021年业务费项目申报依据充分，所提交的申报文件、材料符合相关要求，申请、设立程序合规；项目设立了绩效目标，且目标依据充分，绩效目标设定的绩效指标清晰、可衡量，并细化为31项三级指标。但项目预算编制的科学性不高，预算额度分解无明确标准，预算资金分配无相关测算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s="仿宋_GB2312"/>
          <w:color w:val="auto"/>
          <w:highlight w:val="none"/>
          <w:lang w:val="en-US" w:eastAsia="zh-CN"/>
        </w:rPr>
      </w:pPr>
      <w:r>
        <w:rPr>
          <w:rFonts w:hint="eastAsia"/>
          <w:b/>
          <w:bCs/>
          <w:color w:val="auto"/>
          <w:highlight w:val="none"/>
        </w:rPr>
        <w:t>2.过程方面。</w:t>
      </w:r>
      <w:r>
        <w:rPr>
          <w:rFonts w:hint="eastAsia" w:cs="仿宋_GB2312"/>
          <w:color w:val="auto"/>
          <w:highlight w:val="none"/>
          <w:lang w:val="en-US" w:eastAsia="zh-CN"/>
        </w:rPr>
        <w:t>省委编办2021年业务费项目资金使用合规，不存在截留、挤占、挪用、虚列支出等情况，会计信息真实完整、凭证齐全；项目管理制度和财务管理制度健全且管理规范，政府采购合规。</w:t>
      </w:r>
      <w:r>
        <w:rPr>
          <w:rStyle w:val="18"/>
          <w:rFonts w:hint="eastAsia" w:cs="仿宋_GB2312"/>
          <w:sz w:val="32"/>
          <w:szCs w:val="32"/>
          <w:highlight w:val="none"/>
          <w:lang w:val="en-US" w:eastAsia="zh-CN"/>
        </w:rPr>
        <w:t>严格执行</w:t>
      </w:r>
      <w:r>
        <w:rPr>
          <w:rStyle w:val="18"/>
          <w:rFonts w:hint="eastAsia" w:ascii="仿宋_GB2312" w:hAnsi="仿宋_GB2312" w:eastAsia="仿宋_GB2312" w:cs="仿宋_GB2312"/>
          <w:sz w:val="32"/>
          <w:szCs w:val="32"/>
          <w:highlight w:val="none"/>
          <w:lang w:val="en-US" w:eastAsia="zh-CN"/>
        </w:rPr>
        <w:t>《档案管理制度》，严格档案使用程序，业务档案的建立、收集、整理及利用</w:t>
      </w:r>
      <w:r>
        <w:rPr>
          <w:rStyle w:val="18"/>
          <w:rFonts w:hint="eastAsia" w:cs="仿宋_GB2312"/>
          <w:sz w:val="32"/>
          <w:szCs w:val="32"/>
          <w:highlight w:val="none"/>
          <w:lang w:val="en-US" w:eastAsia="zh-CN"/>
        </w:rPr>
        <w:t>科学</w:t>
      </w:r>
      <w:r>
        <w:rPr>
          <w:rStyle w:val="18"/>
          <w:rFonts w:hint="eastAsia" w:ascii="仿宋_GB2312" w:hAnsi="仿宋_GB2312" w:eastAsia="仿宋_GB2312" w:cs="仿宋_GB2312"/>
          <w:sz w:val="32"/>
          <w:szCs w:val="32"/>
          <w:highlight w:val="none"/>
          <w:lang w:val="en-US" w:eastAsia="zh-CN"/>
        </w:rPr>
        <w:t>规范。</w:t>
      </w:r>
      <w:r>
        <w:rPr>
          <w:rFonts w:hint="eastAsia" w:cs="仿宋_GB2312"/>
          <w:color w:val="auto"/>
          <w:highlight w:val="none"/>
          <w:lang w:val="en-US" w:eastAsia="zh-CN"/>
        </w:rPr>
        <w:t>但预算执行不彻底，执行率为76.8%，未充分发挥资金使用效益。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s="仿宋_GB2312"/>
          <w:color w:val="auto"/>
          <w:kern w:val="2"/>
          <w:sz w:val="32"/>
          <w:szCs w:val="24"/>
          <w:highlight w:val="yellow"/>
          <w:lang w:val="en-US" w:eastAsia="zh-CN" w:bidi="ar-SA"/>
        </w:rPr>
      </w:pPr>
      <w:r>
        <w:rPr>
          <w:rFonts w:hint="eastAsia"/>
          <w:b/>
          <w:bCs/>
          <w:color w:val="auto"/>
          <w:highlight w:val="none"/>
        </w:rPr>
        <w:t>3.产出方面。</w:t>
      </w:r>
      <w:r>
        <w:rPr>
          <w:rFonts w:hint="eastAsia" w:cs="仿宋_GB2312"/>
          <w:color w:val="auto"/>
          <w:highlight w:val="none"/>
          <w:lang w:val="en-US" w:eastAsia="zh-CN"/>
        </w:rPr>
        <w:t>省委编办2021年业务费项目产出数量指标均达到预期目标，产出质量基本达到预期目标和业绩水平，系统升级维护、会议培训、用电保障等及时进行，项目预算成本执行结果未超支，在预算成本控制范围内。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auto"/>
          <w:sz w:val="28"/>
          <w:szCs w:val="28"/>
          <w:highlight w:val="none"/>
        </w:rPr>
      </w:pPr>
      <w:r>
        <w:rPr>
          <w:rFonts w:hint="eastAsia"/>
          <w:b/>
          <w:bCs/>
          <w:color w:val="auto"/>
          <w:highlight w:val="none"/>
          <w:lang w:val="en-US" w:eastAsia="zh-CN"/>
        </w:rPr>
        <w:t>4.</w:t>
      </w:r>
      <w:r>
        <w:rPr>
          <w:rFonts w:hint="eastAsia"/>
          <w:b/>
          <w:bCs/>
          <w:color w:val="auto"/>
          <w:highlight w:val="none"/>
        </w:rPr>
        <w:t>效益方面。</w:t>
      </w:r>
      <w:r>
        <w:rPr>
          <w:rFonts w:hint="eastAsia" w:cs="仿宋_GB2312"/>
          <w:color w:val="auto"/>
          <w:kern w:val="2"/>
          <w:sz w:val="32"/>
          <w:szCs w:val="24"/>
          <w:highlight w:val="none"/>
          <w:lang w:val="en-US" w:eastAsia="zh-CN" w:bidi="ar-SA"/>
        </w:rPr>
        <w:t>省委编办2021年业务费项目的实施在巩固深化机构改革成果、优化编制资源配置、推进重点领域改革、提升机构编制法治意识等方面发挥了良好的社会效益</w:t>
      </w:r>
      <w:r>
        <w:rPr>
          <w:rFonts w:hint="eastAsia" w:cs="仿宋_GB2312"/>
          <w:color w:val="auto"/>
          <w:kern w:val="2"/>
          <w:sz w:val="32"/>
          <w:szCs w:val="32"/>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firstLine="640" w:firstLineChars="200"/>
        <w:jc w:val="both"/>
        <w:textAlignment w:val="auto"/>
        <w:outlineLvl w:val="0"/>
        <w:rPr>
          <w:rFonts w:hint="eastAsia" w:cs="黑体"/>
          <w:b w:val="0"/>
          <w:bCs w:val="0"/>
          <w:color w:val="auto"/>
          <w:sz w:val="32"/>
          <w:szCs w:val="32"/>
          <w:highlight w:val="none"/>
          <w:lang w:val="en-US" w:eastAsia="zh-CN"/>
        </w:rPr>
      </w:pPr>
      <w:bookmarkStart w:id="75" w:name="_Toc22235"/>
      <w:bookmarkStart w:id="76" w:name="_Toc32592"/>
      <w:bookmarkStart w:id="77" w:name="_Toc26030"/>
      <w:bookmarkStart w:id="78" w:name="_Toc3181"/>
      <w:r>
        <w:rPr>
          <w:rFonts w:hint="eastAsia" w:cs="黑体"/>
          <w:b w:val="0"/>
          <w:bCs w:val="0"/>
          <w:color w:val="auto"/>
          <w:sz w:val="32"/>
          <w:szCs w:val="32"/>
          <w:highlight w:val="none"/>
          <w:lang w:val="en-US" w:eastAsia="zh-CN"/>
        </w:rPr>
        <w:t>五、绩效评价指标分析</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依据制定的绩效评价指标体系，本次绩效评价分别从</w:t>
      </w:r>
      <w:r>
        <w:rPr>
          <w:rFonts w:hint="eastAsia" w:cs="仿宋_GB2312"/>
          <w:color w:val="auto"/>
          <w:highlight w:val="none"/>
          <w:lang w:val="en-US" w:eastAsia="zh-CN"/>
        </w:rPr>
        <w:t>决策</w:t>
      </w:r>
      <w:r>
        <w:rPr>
          <w:rFonts w:hint="eastAsia" w:ascii="仿宋_GB2312" w:hAnsi="仿宋_GB2312" w:eastAsia="仿宋_GB2312" w:cs="仿宋_GB2312"/>
          <w:color w:val="auto"/>
          <w:highlight w:val="none"/>
          <w:lang w:val="en-US" w:eastAsia="zh-CN"/>
        </w:rPr>
        <w:t>、过程、产出、效益</w:t>
      </w:r>
      <w:r>
        <w:rPr>
          <w:rFonts w:hint="eastAsia" w:cs="仿宋_GB2312"/>
          <w:color w:val="auto"/>
          <w:highlight w:val="none"/>
          <w:lang w:val="en-US" w:eastAsia="zh-CN"/>
        </w:rPr>
        <w:t>四</w:t>
      </w:r>
      <w:r>
        <w:rPr>
          <w:rFonts w:hint="eastAsia" w:ascii="仿宋_GB2312" w:hAnsi="仿宋_GB2312" w:eastAsia="仿宋_GB2312" w:cs="仿宋_GB2312"/>
          <w:color w:val="auto"/>
          <w:highlight w:val="none"/>
          <w:lang w:val="en-US" w:eastAsia="zh-CN"/>
        </w:rPr>
        <w:t>个方面对</w:t>
      </w:r>
      <w:r>
        <w:rPr>
          <w:rFonts w:hint="eastAsia" w:cs="仿宋_GB2312"/>
          <w:color w:val="auto"/>
          <w:highlight w:val="none"/>
          <w:lang w:val="en-US" w:eastAsia="zh-CN"/>
        </w:rPr>
        <w:t>省委编办2021年业务费项目</w:t>
      </w:r>
      <w:r>
        <w:rPr>
          <w:rFonts w:hint="eastAsia" w:ascii="仿宋_GB2312" w:hAnsi="仿宋_GB2312" w:eastAsia="仿宋_GB2312" w:cs="仿宋_GB2312"/>
          <w:color w:val="auto"/>
          <w:highlight w:val="none"/>
          <w:lang w:val="en-US" w:eastAsia="zh-CN"/>
        </w:rPr>
        <w:t>绩效管理情况进行分析评价。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en-US" w:eastAsia="zh-CN"/>
        </w:rPr>
      </w:pPr>
      <w:r>
        <w:rPr>
          <w:rFonts w:hint="eastAsia" w:cs="仿宋_GB2312"/>
          <w:color w:val="auto"/>
          <w:highlight w:val="none"/>
          <w:lang w:val="en-US" w:eastAsia="zh-CN"/>
        </w:rPr>
        <w:t>省委编办2021年业务费项目</w:t>
      </w:r>
      <w:r>
        <w:rPr>
          <w:rFonts w:hint="eastAsia" w:ascii="仿宋_GB2312" w:hAnsi="仿宋_GB2312" w:eastAsia="仿宋_GB2312" w:cs="仿宋_GB2312"/>
          <w:color w:val="auto"/>
          <w:highlight w:val="none"/>
          <w:lang w:val="en-US" w:eastAsia="zh-CN"/>
        </w:rPr>
        <w:t>绩效评价总体得分情况如下图所示：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val="0"/>
          <w:color w:val="000000" w:themeColor="text1"/>
          <w:highlight w:val="none"/>
          <w:lang w:eastAsia="zh-CN"/>
          <w14:textFill>
            <w14:solidFill>
              <w14:schemeClr w14:val="tx1"/>
            </w14:solidFill>
          </w14:textFill>
        </w:rPr>
      </w:pPr>
      <w:r>
        <w:rPr>
          <w:rFonts w:hint="eastAsia" w:ascii="楷体" w:hAnsi="楷体" w:eastAsia="楷体" w:cs="楷体"/>
          <w:b/>
          <w:bCs w:val="0"/>
          <w:color w:val="000000" w:themeColor="text1"/>
          <w:highlight w:val="none"/>
          <w:lang w:eastAsia="zh-CN"/>
          <w14:textFill>
            <w14:solidFill>
              <w14:schemeClr w14:val="tx1"/>
            </w14:solidFill>
          </w14:textFill>
        </w:rPr>
        <w:drawing>
          <wp:inline distT="0" distB="0" distL="114300" distR="114300">
            <wp:extent cx="5080000" cy="3398520"/>
            <wp:effectExtent l="0" t="0" r="1016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4"/>
        <w:keepNext w:val="0"/>
        <w:keepLines w:val="0"/>
        <w:pageBreakBefore w:val="0"/>
        <w:widowControl w:val="0"/>
        <w:kinsoku/>
        <w:overflowPunct/>
        <w:topLinePunct w:val="0"/>
        <w:autoSpaceDE/>
        <w:autoSpaceDN/>
        <w:bidi w:val="0"/>
        <w:spacing w:line="360" w:lineRule="auto"/>
        <w:rPr>
          <w:rFonts w:hint="eastAsia" w:ascii="楷体_GB2312" w:hAnsi="楷体_GB2312" w:eastAsia="楷体_GB2312" w:cs="楷体_GB2312"/>
          <w:b w:val="0"/>
          <w:bCs/>
          <w:color w:val="auto"/>
          <w:highlight w:val="none"/>
          <w:lang w:val="en-US" w:eastAsia="zh-CN"/>
        </w:rPr>
      </w:pPr>
      <w:bookmarkStart w:id="79" w:name="_Toc23910"/>
      <w:bookmarkStart w:id="80" w:name="_Toc7709"/>
      <w:r>
        <w:rPr>
          <w:rFonts w:hint="eastAsia" w:ascii="楷体_GB2312" w:hAnsi="楷体_GB2312" w:eastAsia="楷体_GB2312" w:cs="楷体_GB2312"/>
          <w:b w:val="0"/>
          <w:bCs/>
          <w:color w:val="auto"/>
          <w:highlight w:val="none"/>
          <w:lang w:eastAsia="zh-CN"/>
        </w:rPr>
        <w:fldChar w:fldCharType="begin"/>
      </w:r>
      <w:r>
        <w:rPr>
          <w:rFonts w:hint="eastAsia" w:ascii="楷体_GB2312" w:hAnsi="楷体_GB2312" w:eastAsia="楷体_GB2312" w:cs="楷体_GB2312"/>
          <w:b w:val="0"/>
          <w:bCs/>
          <w:color w:val="auto"/>
          <w:highlight w:val="none"/>
          <w:lang w:eastAsia="zh-CN"/>
        </w:rPr>
        <w:instrText xml:space="preserve"> HYPERLINK \l _Toc24702 </w:instrText>
      </w:r>
      <w:r>
        <w:rPr>
          <w:rFonts w:hint="eastAsia" w:ascii="楷体_GB2312" w:hAnsi="楷体_GB2312" w:eastAsia="楷体_GB2312" w:cs="楷体_GB2312"/>
          <w:b w:val="0"/>
          <w:bCs/>
          <w:color w:val="auto"/>
          <w:highlight w:val="none"/>
          <w:lang w:eastAsia="zh-CN"/>
        </w:rPr>
        <w:fldChar w:fldCharType="separate"/>
      </w:r>
      <w:r>
        <w:rPr>
          <w:rFonts w:hint="eastAsia" w:ascii="楷体_GB2312" w:hAnsi="楷体_GB2312" w:eastAsia="楷体_GB2312" w:cs="楷体_GB2312"/>
          <w:b w:val="0"/>
          <w:bCs/>
          <w:color w:val="auto"/>
          <w:highlight w:val="none"/>
          <w:lang w:eastAsia="zh-CN"/>
        </w:rPr>
        <w:t>（一）</w:t>
      </w:r>
      <w:r>
        <w:rPr>
          <w:rFonts w:hint="eastAsia" w:ascii="楷体_GB2312" w:hAnsi="楷体_GB2312" w:eastAsia="楷体_GB2312" w:cs="楷体_GB2312"/>
          <w:b w:val="0"/>
          <w:bCs/>
          <w:color w:val="auto"/>
          <w:highlight w:val="none"/>
          <w:lang w:eastAsia="zh-CN"/>
        </w:rPr>
        <w:fldChar w:fldCharType="end"/>
      </w:r>
      <w:bookmarkEnd w:id="78"/>
      <w:r>
        <w:rPr>
          <w:rFonts w:hint="eastAsia" w:ascii="楷体_GB2312" w:hAnsi="楷体_GB2312" w:eastAsia="楷体_GB2312" w:cs="楷体_GB2312"/>
          <w:b w:val="0"/>
          <w:bCs/>
          <w:color w:val="auto"/>
          <w:highlight w:val="none"/>
          <w:lang w:eastAsia="zh-CN"/>
        </w:rPr>
        <w:t>项目</w:t>
      </w:r>
      <w:r>
        <w:rPr>
          <w:rFonts w:hint="eastAsia" w:ascii="楷体_GB2312" w:hAnsi="楷体_GB2312" w:eastAsia="楷体_GB2312" w:cs="楷体_GB2312"/>
          <w:b w:val="0"/>
          <w:bCs/>
          <w:color w:val="auto"/>
          <w:highlight w:val="none"/>
          <w:lang w:eastAsia="zh-CN"/>
        </w:rPr>
        <w:fldChar w:fldCharType="begin"/>
      </w:r>
      <w:r>
        <w:rPr>
          <w:rFonts w:hint="eastAsia" w:ascii="楷体_GB2312" w:hAnsi="楷体_GB2312" w:eastAsia="楷体_GB2312" w:cs="楷体_GB2312"/>
          <w:b w:val="0"/>
          <w:bCs/>
          <w:color w:val="auto"/>
          <w:highlight w:val="none"/>
          <w:lang w:eastAsia="zh-CN"/>
        </w:rPr>
        <w:instrText xml:space="preserve"> HYPERLINK \l "_Toc19358" </w:instrText>
      </w:r>
      <w:r>
        <w:rPr>
          <w:rFonts w:hint="eastAsia" w:ascii="楷体_GB2312" w:hAnsi="楷体_GB2312" w:eastAsia="楷体_GB2312" w:cs="楷体_GB2312"/>
          <w:b w:val="0"/>
          <w:bCs/>
          <w:color w:val="auto"/>
          <w:highlight w:val="none"/>
          <w:lang w:eastAsia="zh-CN"/>
        </w:rPr>
        <w:fldChar w:fldCharType="separate"/>
      </w:r>
      <w:r>
        <w:rPr>
          <w:rFonts w:hint="eastAsia" w:ascii="楷体_GB2312" w:hAnsi="楷体_GB2312" w:eastAsia="楷体_GB2312" w:cs="楷体_GB2312"/>
          <w:b w:val="0"/>
          <w:bCs/>
          <w:color w:val="auto"/>
          <w:highlight w:val="none"/>
          <w:lang w:eastAsia="zh-CN"/>
        </w:rPr>
        <w:t>决策</w:t>
      </w:r>
      <w:r>
        <w:rPr>
          <w:rFonts w:hint="eastAsia" w:ascii="楷体_GB2312" w:hAnsi="楷体_GB2312" w:eastAsia="楷体_GB2312" w:cs="楷体_GB2312"/>
          <w:b w:val="0"/>
          <w:bCs/>
          <w:color w:val="auto"/>
          <w:highlight w:val="none"/>
          <w:lang w:eastAsia="zh-CN"/>
        </w:rPr>
        <w:fldChar w:fldCharType="end"/>
      </w:r>
      <w:r>
        <w:rPr>
          <w:rFonts w:hint="eastAsia" w:ascii="楷体_GB2312" w:hAnsi="楷体_GB2312" w:eastAsia="楷体_GB2312" w:cs="楷体_GB2312"/>
          <w:b w:val="0"/>
          <w:bCs/>
          <w:color w:val="auto"/>
          <w:highlight w:val="none"/>
          <w:lang w:eastAsia="zh-CN"/>
        </w:rPr>
        <w:t>情况</w:t>
      </w:r>
      <w:bookmarkEnd w:id="79"/>
      <w:bookmarkEnd w:id="80"/>
    </w:p>
    <w:p>
      <w:pPr>
        <w:keepNext w:val="0"/>
        <w:keepLines w:val="0"/>
        <w:pageBreakBefore w:val="0"/>
        <w:widowControl w:val="0"/>
        <w:kinsoku/>
        <w:wordWrap/>
        <w:overflowPunct/>
        <w:topLinePunct w:val="0"/>
        <w:autoSpaceDE/>
        <w:autoSpaceDN/>
        <w:bidi w:val="0"/>
        <w:adjustRightInd/>
        <w:snapToGrid/>
        <w:spacing w:line="360" w:lineRule="auto"/>
        <w:ind w:leftChars="0" w:firstLine="643"/>
        <w:textAlignment w:val="auto"/>
        <w:rPr>
          <w:rFonts w:hint="eastAsia" w:ascii="仿宋_GB2312" w:hAnsi="仿宋_GB2312" w:eastAsia="仿宋_GB2312" w:cs="仿宋_GB2312"/>
          <w:color w:val="auto"/>
          <w:highlight w:val="none"/>
          <w:lang w:val="en-US" w:eastAsia="zh-CN"/>
        </w:rPr>
      </w:pPr>
      <w:r>
        <w:rPr>
          <w:rFonts w:hint="eastAsia" w:cs="仿宋_GB2312"/>
          <w:color w:val="auto"/>
          <w:highlight w:val="none"/>
          <w:lang w:val="en-US" w:eastAsia="zh-CN"/>
        </w:rPr>
        <w:t>省委编办2021年业务费项目绩效评价决策类指标分别从项目申报、绩效目标和资金投入三个方面进行综合分析。各项</w:t>
      </w:r>
      <w:r>
        <w:rPr>
          <w:rFonts w:hint="eastAsia" w:ascii="仿宋_GB2312" w:hAnsi="仿宋_GB2312" w:eastAsia="仿宋_GB2312" w:cs="仿宋_GB2312"/>
          <w:color w:val="auto"/>
          <w:highlight w:val="none"/>
          <w:lang w:val="en-US" w:eastAsia="zh-CN"/>
        </w:rPr>
        <w:t>指标具体得分情况如下表所示：</w:t>
      </w:r>
    </w:p>
    <w:p>
      <w:pPr>
        <w:pStyle w:val="2"/>
        <w:rPr>
          <w:rFonts w:hint="eastAsia"/>
          <w:lang w:val="en-US" w:eastAsia="zh-CN"/>
        </w:rPr>
      </w:pP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2199"/>
        <w:gridCol w:w="3242"/>
        <w:gridCol w:w="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left w:val="nil"/>
              <w:bottom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决策</w:t>
            </w:r>
            <w:r>
              <w:rPr>
                <w:rFonts w:hint="eastAsia" w:ascii="宋体" w:hAnsi="宋体" w:eastAsia="宋体" w:cs="宋体"/>
                <w:b/>
                <w:bCs/>
                <w:color w:val="auto"/>
                <w:sz w:val="28"/>
                <w:szCs w:val="28"/>
                <w:highlight w:val="none"/>
              </w:rPr>
              <w:t>类各项指标绩效评价</w:t>
            </w:r>
            <w:r>
              <w:rPr>
                <w:rFonts w:hint="eastAsia" w:ascii="宋体" w:hAnsi="宋体" w:eastAsia="宋体" w:cs="宋体"/>
                <w:b/>
                <w:color w:val="auto"/>
                <w:sz w:val="28"/>
                <w:szCs w:val="28"/>
                <w:highlight w:val="none"/>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9" w:type="pct"/>
            <w:tcBorders>
              <w:top w:val="double" w:color="000000" w:sz="4" w:space="0"/>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一级指标</w:t>
            </w:r>
          </w:p>
        </w:tc>
        <w:tc>
          <w:tcPr>
            <w:tcW w:w="1290" w:type="pct"/>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二级指标</w:t>
            </w:r>
          </w:p>
        </w:tc>
        <w:tc>
          <w:tcPr>
            <w:tcW w:w="1902" w:type="pct"/>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三级指标</w:t>
            </w:r>
          </w:p>
        </w:tc>
        <w:tc>
          <w:tcPr>
            <w:tcW w:w="647" w:type="pct"/>
            <w:gridSpan w:val="2"/>
            <w:tcBorders>
              <w:top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9" w:type="pct"/>
            <w:vMerge w:val="restart"/>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u w:val="single"/>
                <w:lang w:val="en-US" w:eastAsia="zh-CN"/>
              </w:rPr>
              <w:t>决策</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得分率：</w:t>
            </w:r>
            <w:r>
              <w:rPr>
                <w:rFonts w:hint="eastAsia" w:ascii="宋体" w:hAnsi="宋体" w:eastAsia="宋体" w:cs="宋体"/>
                <w:bCs/>
                <w:color w:val="auto"/>
                <w:sz w:val="28"/>
                <w:szCs w:val="28"/>
                <w:highlight w:val="none"/>
                <w:lang w:val="en-US" w:eastAsia="zh-CN"/>
              </w:rPr>
              <w:t>83.33</w:t>
            </w:r>
            <w:r>
              <w:rPr>
                <w:rFonts w:hint="eastAsia" w:ascii="宋体" w:hAnsi="宋体" w:eastAsia="宋体" w:cs="宋体"/>
                <w:bCs/>
                <w:color w:val="auto"/>
                <w:sz w:val="28"/>
                <w:szCs w:val="28"/>
                <w:highlight w:val="none"/>
              </w:rPr>
              <w:t>%</w:t>
            </w:r>
          </w:p>
        </w:tc>
        <w:tc>
          <w:tcPr>
            <w:tcW w:w="1290" w:type="pct"/>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项目申报</w:t>
            </w:r>
          </w:p>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8"/>
                <w:szCs w:val="28"/>
                <w:highlight w:val="none"/>
                <w:u w:val="single"/>
                <w:lang w:val="en-US" w:eastAsia="zh-CN"/>
              </w:rPr>
            </w:pPr>
            <w:r>
              <w:rPr>
                <w:rFonts w:hint="eastAsia" w:ascii="宋体" w:hAnsi="宋体" w:eastAsia="宋体" w:cs="宋体"/>
                <w:bCs/>
                <w:color w:val="auto"/>
                <w:sz w:val="28"/>
                <w:szCs w:val="28"/>
                <w:highlight w:val="none"/>
              </w:rPr>
              <w:t>得分率：</w:t>
            </w:r>
            <w:r>
              <w:rPr>
                <w:rFonts w:hint="eastAsia" w:ascii="宋体" w:hAnsi="宋体" w:eastAsia="宋体" w:cs="宋体"/>
                <w:bCs/>
                <w:color w:val="auto"/>
                <w:sz w:val="28"/>
                <w:szCs w:val="28"/>
                <w:highlight w:val="none"/>
                <w:lang w:val="en-US" w:eastAsia="zh-CN"/>
              </w:rPr>
              <w:t>100</w:t>
            </w:r>
            <w:r>
              <w:rPr>
                <w:rFonts w:hint="eastAsia" w:ascii="宋体" w:hAnsi="宋体" w:eastAsia="宋体" w:cs="宋体"/>
                <w:bCs/>
                <w:color w:val="auto"/>
                <w:sz w:val="28"/>
                <w:szCs w:val="28"/>
                <w:highlight w:val="none"/>
              </w:rPr>
              <w:t>%</w:t>
            </w:r>
          </w:p>
        </w:tc>
        <w:tc>
          <w:tcPr>
            <w:tcW w:w="19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sz w:val="28"/>
                <w:szCs w:val="28"/>
                <w:highlight w:val="none"/>
              </w:rPr>
              <w:t>申报依据充分性</w:t>
            </w:r>
          </w:p>
        </w:tc>
        <w:tc>
          <w:tcPr>
            <w:tcW w:w="647"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9"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1290"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19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kern w:val="2"/>
                <w:sz w:val="28"/>
                <w:szCs w:val="28"/>
                <w:highlight w:val="none"/>
                <w:lang w:val="en-US" w:eastAsia="zh-CN" w:bidi="ar-SA"/>
              </w:rPr>
            </w:pPr>
            <w:r>
              <w:rPr>
                <w:rFonts w:hint="eastAsia" w:ascii="宋体" w:hAnsi="宋体" w:eastAsia="宋体" w:cs="宋体"/>
                <w:i w:val="0"/>
                <w:iCs w:val="0"/>
                <w:color w:val="auto"/>
                <w:kern w:val="0"/>
                <w:sz w:val="28"/>
                <w:szCs w:val="28"/>
                <w:highlight w:val="none"/>
                <w:lang w:eastAsia="zh-CN"/>
              </w:rPr>
              <w:t>申报程序</w:t>
            </w:r>
            <w:r>
              <w:rPr>
                <w:rFonts w:hint="eastAsia" w:ascii="宋体" w:hAnsi="宋体" w:eastAsia="宋体" w:cs="宋体"/>
                <w:i w:val="0"/>
                <w:iCs w:val="0"/>
                <w:color w:val="auto"/>
                <w:kern w:val="0"/>
                <w:sz w:val="28"/>
                <w:szCs w:val="28"/>
                <w:highlight w:val="none"/>
              </w:rPr>
              <w:t>规范性</w:t>
            </w:r>
          </w:p>
        </w:tc>
        <w:tc>
          <w:tcPr>
            <w:tcW w:w="647"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kern w:val="2"/>
                <w:sz w:val="28"/>
                <w:szCs w:val="28"/>
                <w:highlight w:val="none"/>
                <w:lang w:val="en-US" w:eastAsia="zh-CN" w:bidi="ar-SA"/>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9"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1290" w:type="pct"/>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绩效目标</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得分率：</w:t>
            </w:r>
            <w:r>
              <w:rPr>
                <w:rFonts w:hint="eastAsia" w:ascii="宋体" w:hAnsi="宋体" w:eastAsia="宋体" w:cs="宋体"/>
                <w:bCs/>
                <w:color w:val="auto"/>
                <w:sz w:val="28"/>
                <w:szCs w:val="28"/>
                <w:highlight w:val="none"/>
                <w:lang w:val="en-US" w:eastAsia="zh-CN"/>
              </w:rPr>
              <w:t>100</w:t>
            </w:r>
            <w:r>
              <w:rPr>
                <w:rFonts w:hint="eastAsia" w:ascii="宋体" w:hAnsi="宋体" w:eastAsia="宋体" w:cs="宋体"/>
                <w:bCs/>
                <w:color w:val="auto"/>
                <w:sz w:val="28"/>
                <w:szCs w:val="28"/>
                <w:highlight w:val="none"/>
              </w:rPr>
              <w:t>%</w:t>
            </w:r>
          </w:p>
        </w:tc>
        <w:tc>
          <w:tcPr>
            <w:tcW w:w="19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kern w:val="0"/>
                <w:sz w:val="28"/>
                <w:szCs w:val="28"/>
                <w:highlight w:val="none"/>
              </w:rPr>
              <w:t>绩效目标合理性</w:t>
            </w:r>
          </w:p>
        </w:tc>
        <w:tc>
          <w:tcPr>
            <w:tcW w:w="647"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59"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1290"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190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kern w:val="0"/>
                <w:sz w:val="28"/>
                <w:szCs w:val="28"/>
                <w:highlight w:val="none"/>
              </w:rPr>
              <w:t>绩效指标明确性</w:t>
            </w:r>
          </w:p>
        </w:tc>
        <w:tc>
          <w:tcPr>
            <w:tcW w:w="647"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8"/>
                <w:szCs w:val="28"/>
                <w:highlight w:val="none"/>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1290" w:type="pct"/>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资金投入</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得分率：</w:t>
            </w:r>
            <w:r>
              <w:rPr>
                <w:rFonts w:hint="eastAsia" w:ascii="宋体" w:hAnsi="宋体" w:eastAsia="宋体" w:cs="宋体"/>
                <w:bCs/>
                <w:color w:val="auto"/>
                <w:sz w:val="28"/>
                <w:szCs w:val="28"/>
                <w:highlight w:val="none"/>
                <w:lang w:val="en-US" w:eastAsia="zh-CN"/>
              </w:rPr>
              <w:t>50</w:t>
            </w:r>
            <w:r>
              <w:rPr>
                <w:rFonts w:hint="eastAsia" w:ascii="宋体" w:hAnsi="宋体" w:eastAsia="宋体" w:cs="宋体"/>
                <w:bCs/>
                <w:color w:val="auto"/>
                <w:sz w:val="28"/>
                <w:szCs w:val="28"/>
                <w:highlight w:val="none"/>
              </w:rPr>
              <w:t>%</w:t>
            </w:r>
          </w:p>
        </w:tc>
        <w:tc>
          <w:tcPr>
            <w:tcW w:w="1903" w:type="pct"/>
            <w:gridSpan w:val="2"/>
            <w:shd w:val="clear" w:color="auto" w:fill="auto"/>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lang w:bidi="ar"/>
              </w:rPr>
              <w:t>预算编制科学性</w:t>
            </w:r>
          </w:p>
        </w:tc>
        <w:tc>
          <w:tcPr>
            <w:tcW w:w="645" w:type="pct"/>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9"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1290"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1903" w:type="pct"/>
            <w:gridSpan w:val="2"/>
            <w:shd w:val="clear" w:color="auto" w:fill="auto"/>
            <w:vAlign w:val="center"/>
          </w:tcPr>
          <w:p>
            <w:pPr>
              <w:keepNext w:val="0"/>
              <w:keepLines w:val="0"/>
              <w:pageBreakBefore w:val="0"/>
              <w:widowControl w:val="0"/>
              <w:kinsoku/>
              <w:overflowPunct/>
              <w:topLinePunct w:val="0"/>
              <w:autoSpaceDE/>
              <w:autoSpaceDN/>
              <w:bidi w:val="0"/>
              <w:spacing w:line="240" w:lineRule="auto"/>
              <w:ind w:left="0" w:leftChars="0" w:firstLine="0" w:firstLineChars="0"/>
              <w:jc w:val="center"/>
              <w:textAlignment w:val="center"/>
              <w:rPr>
                <w:rFonts w:hint="eastAsia" w:ascii="宋体" w:hAnsi="宋体" w:eastAsia="宋体" w:cs="宋体"/>
                <w:i w:val="0"/>
                <w:iCs w:val="0"/>
                <w:color w:val="auto"/>
                <w:kern w:val="0"/>
                <w:sz w:val="28"/>
                <w:szCs w:val="28"/>
                <w:highlight w:val="none"/>
              </w:rPr>
            </w:pPr>
            <w:r>
              <w:rPr>
                <w:rFonts w:hint="eastAsia" w:ascii="宋体" w:hAnsi="宋体" w:eastAsia="宋体" w:cs="宋体"/>
                <w:i w:val="0"/>
                <w:iCs w:val="0"/>
                <w:color w:val="auto"/>
                <w:kern w:val="0"/>
                <w:sz w:val="28"/>
                <w:szCs w:val="28"/>
                <w:highlight w:val="none"/>
                <w:lang w:bidi="ar"/>
              </w:rPr>
              <w:t>资金分配合理性</w:t>
            </w:r>
          </w:p>
        </w:tc>
        <w:tc>
          <w:tcPr>
            <w:tcW w:w="645" w:type="pct"/>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54" w:type="pct"/>
            <w:gridSpan w:val="4"/>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决策</w:t>
            </w:r>
            <w:r>
              <w:rPr>
                <w:rFonts w:hint="eastAsia" w:ascii="宋体" w:hAnsi="宋体" w:eastAsia="宋体" w:cs="宋体"/>
                <w:b/>
                <w:color w:val="auto"/>
                <w:sz w:val="28"/>
                <w:szCs w:val="28"/>
                <w:highlight w:val="none"/>
              </w:rPr>
              <w:t>”情况评级</w:t>
            </w:r>
          </w:p>
        </w:tc>
        <w:tc>
          <w:tcPr>
            <w:tcW w:w="645" w:type="pct"/>
            <w:tcBorders>
              <w:right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优</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color w:val="auto"/>
          <w:highlight w:val="none"/>
          <w:lang w:val="en-US" w:eastAsia="zh-CN"/>
        </w:rPr>
      </w:pPr>
      <w:r>
        <w:rPr>
          <w:rFonts w:hint="eastAsia"/>
          <w:b/>
          <w:bCs/>
          <w:color w:val="auto"/>
          <w:highlight w:val="none"/>
          <w:lang w:val="en-US" w:eastAsia="zh-CN"/>
        </w:rPr>
        <w:t>1.项目申报（4分）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 w:val="0"/>
          <w:bCs w:val="0"/>
          <w:color w:val="auto"/>
          <w:sz w:val="32"/>
          <w:szCs w:val="32"/>
          <w:highlight w:val="none"/>
          <w:lang w:val="en-US" w:eastAsia="zh-CN"/>
        </w:rPr>
      </w:pPr>
      <w:r>
        <w:rPr>
          <w:rFonts w:hint="eastAsia" w:cs="仿宋_GB2312"/>
          <w:b w:val="0"/>
          <w:bCs w:val="0"/>
          <w:color w:val="auto"/>
          <w:sz w:val="32"/>
          <w:szCs w:val="32"/>
          <w:highlight w:val="none"/>
          <w:lang w:val="en-US" w:eastAsia="zh-CN"/>
        </w:rPr>
        <w:t>项目申报指标分值4分，得分为4分。</w:t>
      </w:r>
      <w:r>
        <w:rPr>
          <w:rFonts w:hint="eastAsia" w:cs="仿宋_GB2312"/>
          <w:color w:val="auto"/>
          <w:highlight w:val="none"/>
          <w:lang w:val="en-US" w:eastAsia="zh-CN"/>
        </w:rPr>
        <w:t>省委编办2021年业务费项目</w:t>
      </w:r>
      <w:r>
        <w:rPr>
          <w:rFonts w:hint="eastAsia" w:cs="仿宋_GB2312"/>
          <w:b w:val="0"/>
          <w:bCs w:val="0"/>
          <w:color w:val="auto"/>
          <w:sz w:val="32"/>
          <w:szCs w:val="32"/>
          <w:highlight w:val="none"/>
          <w:lang w:val="en-US" w:eastAsia="zh-CN"/>
        </w:rPr>
        <w:t>申报依据充分，所提交的申报文件、材料符合相关要求，申请、设立程序合规。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仿宋_GB2312" w:hAnsi="仿宋_GB2312" w:eastAsia="仿宋_GB2312" w:cs="仿宋_GB2312"/>
          <w:b/>
          <w:color w:val="auto"/>
          <w:szCs w:val="32"/>
          <w:highlight w:val="none"/>
        </w:rPr>
      </w:pPr>
      <w:r>
        <w:rPr>
          <w:rFonts w:hint="eastAsia" w:cs="仿宋_GB2312"/>
          <w:b/>
          <w:color w:val="auto"/>
          <w:szCs w:val="32"/>
          <w:highlight w:val="none"/>
          <w:lang w:eastAsia="zh-CN"/>
        </w:rPr>
        <w:t>（</w:t>
      </w:r>
      <w:r>
        <w:rPr>
          <w:rFonts w:hint="eastAsia" w:cs="仿宋_GB2312"/>
          <w:b/>
          <w:color w:val="auto"/>
          <w:szCs w:val="32"/>
          <w:highlight w:val="none"/>
          <w:lang w:val="en-US" w:eastAsia="zh-CN"/>
        </w:rPr>
        <w:t>1</w:t>
      </w:r>
      <w:r>
        <w:rPr>
          <w:rFonts w:hint="eastAsia" w:cs="仿宋_GB2312"/>
          <w:b/>
          <w:color w:val="auto"/>
          <w:szCs w:val="32"/>
          <w:highlight w:val="none"/>
          <w:lang w:eastAsia="zh-CN"/>
        </w:rPr>
        <w:t>）</w:t>
      </w:r>
      <w:r>
        <w:rPr>
          <w:rFonts w:hint="eastAsia" w:ascii="仿宋_GB2312" w:hAnsi="仿宋_GB2312" w:eastAsia="仿宋_GB2312" w:cs="仿宋_GB2312"/>
          <w:b/>
          <w:color w:val="auto"/>
          <w:szCs w:val="32"/>
          <w:highlight w:val="none"/>
        </w:rPr>
        <w:t>申报依据充分性（</w:t>
      </w:r>
      <w:r>
        <w:rPr>
          <w:rFonts w:hint="eastAsia" w:cs="仿宋_GB2312"/>
          <w:b/>
          <w:color w:val="auto"/>
          <w:szCs w:val="32"/>
          <w:highlight w:val="none"/>
          <w:lang w:val="en-US" w:eastAsia="zh-CN"/>
        </w:rPr>
        <w:t>2</w:t>
      </w:r>
      <w:r>
        <w:rPr>
          <w:rFonts w:hint="eastAsia" w:ascii="仿宋_GB2312" w:hAnsi="仿宋_GB2312" w:eastAsia="仿宋_GB2312" w:cs="仿宋_GB2312"/>
          <w:b/>
          <w:color w:val="auto"/>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申报依据充分性指标分值</w:t>
      </w:r>
      <w:r>
        <w:rPr>
          <w:rFonts w:hint="eastAsia"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分，得分为</w:t>
      </w:r>
      <w:r>
        <w:rPr>
          <w:rFonts w:hint="eastAsia"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分。</w:t>
      </w:r>
      <w:r>
        <w:rPr>
          <w:rFonts w:hint="eastAsia" w:cs="仿宋_GB2312"/>
          <w:b w:val="0"/>
          <w:bCs w:val="0"/>
          <w:color w:val="auto"/>
          <w:sz w:val="32"/>
          <w:szCs w:val="32"/>
          <w:highlight w:val="none"/>
          <w:lang w:val="en-US" w:eastAsia="zh-CN"/>
        </w:rPr>
        <w:t>根据《中国共产党机构编制工作条例》、2021年全国编办主任会议精神及《省委编办2021年工作要点》等文件、会议要求，</w:t>
      </w:r>
      <w:r>
        <w:rPr>
          <w:rFonts w:hint="eastAsia" w:cs="仿宋_GB2312"/>
          <w:color w:val="auto"/>
          <w:highlight w:val="none"/>
          <w:lang w:val="en-US" w:eastAsia="zh-CN"/>
        </w:rPr>
        <w:t>省委编办2021年业务费项目</w:t>
      </w:r>
      <w:r>
        <w:rPr>
          <w:rFonts w:hint="eastAsia" w:cs="仿宋_GB2312"/>
          <w:b w:val="0"/>
          <w:bCs w:val="0"/>
          <w:color w:val="auto"/>
          <w:sz w:val="32"/>
          <w:szCs w:val="32"/>
          <w:highlight w:val="none"/>
          <w:lang w:val="en-US" w:eastAsia="zh-CN"/>
        </w:rPr>
        <w:t>符合国家法律法规、国民经济和社会发展规划，项目与本部门（单位）职能、发展规划和工作计划密切相关。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color w:val="auto"/>
          <w:highlight w:val="none"/>
        </w:rPr>
      </w:pPr>
      <w:r>
        <w:rPr>
          <w:rFonts w:hint="eastAsia" w:ascii="仿宋_GB2312" w:hAnsi="仿宋_GB2312" w:eastAsia="仿宋_GB2312" w:cs="仿宋_GB2312"/>
          <w:b w:val="0"/>
          <w:bCs w:val="0"/>
          <w:color w:val="auto"/>
          <w:sz w:val="32"/>
          <w:szCs w:val="32"/>
          <w:highlight w:val="none"/>
          <w:lang w:val="en-US" w:eastAsia="zh-CN"/>
        </w:rPr>
        <w:t>根据</w:t>
      </w:r>
      <w:r>
        <w:rPr>
          <w:rFonts w:hint="eastAsia" w:cs="仿宋_GB2312"/>
          <w:b w:val="0"/>
          <w:bCs w:val="0"/>
          <w:color w:val="auto"/>
          <w:sz w:val="32"/>
          <w:szCs w:val="32"/>
          <w:highlight w:val="none"/>
          <w:lang w:val="en-US" w:eastAsia="zh-CN"/>
        </w:rPr>
        <w:t>指标体系</w:t>
      </w:r>
      <w:r>
        <w:rPr>
          <w:rFonts w:hint="eastAsia" w:ascii="仿宋_GB2312" w:hAnsi="仿宋_GB2312" w:eastAsia="仿宋_GB2312" w:cs="仿宋_GB2312"/>
          <w:b w:val="0"/>
          <w:bCs w:val="0"/>
          <w:color w:val="auto"/>
          <w:sz w:val="32"/>
          <w:szCs w:val="32"/>
          <w:highlight w:val="none"/>
          <w:lang w:val="en-US" w:eastAsia="zh-CN"/>
        </w:rPr>
        <w:t>评分标准，</w:t>
      </w:r>
      <w:r>
        <w:rPr>
          <w:rFonts w:hint="eastAsia" w:ascii="仿宋_GB2312" w:hAnsi="仿宋_GB2312" w:cs="仿宋_GB2312"/>
          <w:color w:val="auto"/>
          <w:szCs w:val="32"/>
          <w:highlight w:val="none"/>
        </w:rPr>
        <w:t>项目</w:t>
      </w:r>
      <w:r>
        <w:rPr>
          <w:rFonts w:hint="eastAsia" w:ascii="仿宋_GB2312" w:hAnsi="仿宋_GB2312" w:cs="仿宋_GB2312"/>
          <w:color w:val="auto"/>
          <w:highlight w:val="none"/>
        </w:rPr>
        <w:t>立项符合国家法律法规、国民经济发展规划和相关政策；符合行业发展规划和政策要求；与部门职责范围相符，属于部门履职所需；属于公共财政支持范围，符合中央、地方事权支出责任划分原则。指标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仿宋_GB2312" w:hAnsi="仿宋_GB2312" w:eastAsia="仿宋_GB2312" w:cs="仿宋_GB2312"/>
          <w:b/>
          <w:color w:val="auto"/>
          <w:szCs w:val="32"/>
          <w:highlight w:val="none"/>
        </w:rPr>
      </w:pPr>
      <w:r>
        <w:rPr>
          <w:rFonts w:hint="eastAsia" w:cs="仿宋_GB2312"/>
          <w:b/>
          <w:color w:val="auto"/>
          <w:szCs w:val="32"/>
          <w:highlight w:val="none"/>
          <w:lang w:eastAsia="zh-CN"/>
        </w:rPr>
        <w:t>（二）</w:t>
      </w:r>
      <w:r>
        <w:rPr>
          <w:rFonts w:hint="eastAsia" w:ascii="仿宋_GB2312" w:hAnsi="仿宋_GB2312" w:eastAsia="仿宋_GB2312" w:cs="仿宋_GB2312"/>
          <w:b/>
          <w:color w:val="auto"/>
          <w:szCs w:val="32"/>
          <w:highlight w:val="none"/>
          <w:lang w:eastAsia="zh-CN"/>
        </w:rPr>
        <w:t>申报程序</w:t>
      </w:r>
      <w:r>
        <w:rPr>
          <w:rFonts w:hint="eastAsia" w:ascii="仿宋_GB2312" w:hAnsi="仿宋_GB2312" w:eastAsia="仿宋_GB2312" w:cs="仿宋_GB2312"/>
          <w:b/>
          <w:color w:val="auto"/>
          <w:szCs w:val="32"/>
          <w:highlight w:val="none"/>
        </w:rPr>
        <w:t>规范性（</w:t>
      </w:r>
      <w:r>
        <w:rPr>
          <w:rFonts w:hint="eastAsia" w:cs="仿宋_GB2312"/>
          <w:b/>
          <w:color w:val="auto"/>
          <w:szCs w:val="32"/>
          <w:highlight w:val="none"/>
          <w:lang w:val="en-US" w:eastAsia="zh-CN"/>
        </w:rPr>
        <w:t>2</w:t>
      </w:r>
      <w:r>
        <w:rPr>
          <w:rFonts w:hint="eastAsia" w:ascii="仿宋_GB2312" w:hAnsi="仿宋_GB2312" w:eastAsia="仿宋_GB2312" w:cs="仿宋_GB2312"/>
          <w:b/>
          <w:color w:val="auto"/>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申报程序规范性指标分值</w:t>
      </w:r>
      <w:r>
        <w:rPr>
          <w:rFonts w:hint="eastAsia"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分，得分为</w:t>
      </w:r>
      <w:r>
        <w:rPr>
          <w:rFonts w:hint="eastAsia"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分。</w:t>
      </w:r>
      <w:r>
        <w:rPr>
          <w:rFonts w:hint="eastAsia" w:cs="仿宋_GB2312"/>
          <w:b w:val="0"/>
          <w:bCs w:val="0"/>
          <w:color w:val="auto"/>
          <w:sz w:val="32"/>
          <w:szCs w:val="32"/>
          <w:highlight w:val="none"/>
          <w:lang w:val="en-US" w:eastAsia="zh-CN"/>
        </w:rPr>
        <w:t>根据2021年全国编办主任会议精神、《省委编办2021年工作要点》等文件、会议要求，省委编办2021年业务费项目属于延续性项目，主要用于机构改革及机构编制实名制管理，按照规定的程序申请预算，且所提交的文件、材料符合相关政策要求</w:t>
      </w:r>
      <w:r>
        <w:rPr>
          <w:rFonts w:hint="eastAsia"/>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color w:val="auto"/>
          <w:sz w:val="32"/>
          <w:szCs w:val="32"/>
          <w:highlight w:val="none"/>
          <w:lang w:val="en-US" w:eastAsia="zh-CN"/>
        </w:rPr>
      </w:pPr>
      <w:r>
        <w:rPr>
          <w:rFonts w:hint="eastAsia"/>
          <w:b w:val="0"/>
          <w:bCs/>
          <w:color w:val="auto"/>
          <w:sz w:val="32"/>
          <w:szCs w:val="32"/>
          <w:highlight w:val="none"/>
          <w:lang w:val="en-US" w:eastAsia="zh-CN"/>
        </w:rPr>
        <w:t>根据指标体系评分标准，项目按照规定的程序申请设立；审批文件、材料符合相关要求；事前经过必要的集体决策，专家论证。指标得分2分。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color w:val="auto"/>
          <w:highlight w:val="none"/>
          <w:lang w:val="en-US" w:eastAsia="zh-CN"/>
        </w:rPr>
      </w:pPr>
      <w:r>
        <w:rPr>
          <w:rFonts w:hint="eastAsia"/>
          <w:b/>
          <w:bCs/>
          <w:color w:val="auto"/>
          <w:highlight w:val="none"/>
          <w:lang w:val="en-US" w:eastAsia="zh-CN"/>
        </w:rPr>
        <w:t>2.绩效目标（4分）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r>
        <w:rPr>
          <w:rFonts w:hint="eastAsia" w:cs="仿宋_GB2312"/>
          <w:b w:val="0"/>
          <w:bCs w:val="0"/>
          <w:color w:val="auto"/>
          <w:sz w:val="32"/>
          <w:szCs w:val="32"/>
          <w:highlight w:val="none"/>
          <w:lang w:val="en-US" w:eastAsia="zh-CN"/>
        </w:rPr>
        <w:t>绩效目标</w:t>
      </w:r>
      <w:r>
        <w:rPr>
          <w:rFonts w:hint="eastAsia" w:ascii="仿宋_GB2312" w:hAnsi="仿宋_GB2312" w:eastAsia="仿宋_GB2312" w:cs="仿宋_GB2312"/>
          <w:b w:val="0"/>
          <w:bCs w:val="0"/>
          <w:color w:val="auto"/>
          <w:sz w:val="32"/>
          <w:szCs w:val="32"/>
          <w:highlight w:val="none"/>
          <w:lang w:val="en-US" w:eastAsia="zh-CN"/>
        </w:rPr>
        <w:t>指标分值</w:t>
      </w:r>
      <w:r>
        <w:rPr>
          <w:rFonts w:hint="eastAsia"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分，得分为</w:t>
      </w:r>
      <w:r>
        <w:rPr>
          <w:rFonts w:hint="eastAsia"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分。根据指标体系评分标准，</w:t>
      </w:r>
      <w:r>
        <w:rPr>
          <w:rFonts w:hint="eastAsia" w:cs="仿宋_GB2312"/>
          <w:color w:val="auto"/>
          <w:highlight w:val="none"/>
          <w:lang w:val="en-US" w:eastAsia="zh-CN"/>
        </w:rPr>
        <w:t>省</w:t>
      </w:r>
      <w:r>
        <w:rPr>
          <w:rFonts w:hint="eastAsia" w:ascii="仿宋_GB2312" w:hAnsi="仿宋_GB2312" w:eastAsia="仿宋_GB2312" w:cs="仿宋_GB2312"/>
          <w:b w:val="0"/>
          <w:bCs w:val="0"/>
          <w:color w:val="auto"/>
          <w:sz w:val="32"/>
          <w:szCs w:val="32"/>
          <w:highlight w:val="none"/>
          <w:lang w:val="en-US" w:eastAsia="zh-CN"/>
        </w:rPr>
        <w:t>委编办2021年业务费项目设立了绩效目标，且目标依据充分，绩效目标设定的绩效指标清晰、可衡量，并细化为31项三级指标。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color w:val="auto"/>
          <w:szCs w:val="32"/>
          <w:highlight w:val="none"/>
        </w:rPr>
      </w:pPr>
      <w:r>
        <w:rPr>
          <w:rFonts w:hint="eastAsia" w:cs="仿宋_GB2312"/>
          <w:b/>
          <w:color w:val="auto"/>
          <w:szCs w:val="32"/>
          <w:highlight w:val="none"/>
          <w:lang w:eastAsia="zh-CN"/>
        </w:rPr>
        <w:t>（</w:t>
      </w:r>
      <w:r>
        <w:rPr>
          <w:rFonts w:hint="eastAsia" w:cs="仿宋_GB2312"/>
          <w:b/>
          <w:color w:val="auto"/>
          <w:szCs w:val="32"/>
          <w:highlight w:val="none"/>
          <w:lang w:val="en-US" w:eastAsia="zh-CN"/>
        </w:rPr>
        <w:t>1</w:t>
      </w:r>
      <w:r>
        <w:rPr>
          <w:rFonts w:hint="eastAsia" w:cs="仿宋_GB2312"/>
          <w:b/>
          <w:color w:val="auto"/>
          <w:szCs w:val="32"/>
          <w:highlight w:val="none"/>
          <w:lang w:eastAsia="zh-CN"/>
        </w:rPr>
        <w:t>）</w:t>
      </w:r>
      <w:r>
        <w:rPr>
          <w:rFonts w:hint="eastAsia" w:ascii="仿宋_GB2312" w:hAnsi="仿宋_GB2312" w:eastAsia="仿宋_GB2312" w:cs="仿宋_GB2312"/>
          <w:b/>
          <w:color w:val="auto"/>
          <w:szCs w:val="32"/>
          <w:highlight w:val="none"/>
        </w:rPr>
        <w:t>绩效目标合理性（</w:t>
      </w:r>
      <w:r>
        <w:rPr>
          <w:rFonts w:hint="eastAsia" w:cs="仿宋_GB2312"/>
          <w:b/>
          <w:color w:val="auto"/>
          <w:szCs w:val="32"/>
          <w:highlight w:val="none"/>
          <w:lang w:val="en-US" w:eastAsia="zh-CN"/>
        </w:rPr>
        <w:t>2</w:t>
      </w:r>
      <w:r>
        <w:rPr>
          <w:rFonts w:hint="eastAsia" w:ascii="仿宋_GB2312" w:hAnsi="仿宋_GB2312" w:eastAsia="仿宋_GB2312" w:cs="仿宋_GB2312"/>
          <w:b/>
          <w:color w:val="auto"/>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s="仿宋_GB2312"/>
          <w:b w:val="0"/>
          <w:bCs w:val="0"/>
          <w:color w:val="auto"/>
          <w:sz w:val="32"/>
          <w:szCs w:val="32"/>
          <w:highlight w:val="none"/>
          <w:lang w:val="en-US" w:eastAsia="zh-CN"/>
        </w:rPr>
      </w:pPr>
      <w:r>
        <w:rPr>
          <w:rFonts w:hint="eastAsia" w:cs="仿宋_GB2312"/>
          <w:color w:val="auto"/>
          <w:highlight w:val="none"/>
          <w:lang w:val="en-US" w:eastAsia="zh-CN"/>
        </w:rPr>
        <w:t>绩效目标合理性指标分值2分，得分为2分。</w:t>
      </w:r>
      <w:r>
        <w:rPr>
          <w:rFonts w:hint="eastAsia" w:cs="仿宋_GB2312"/>
          <w:b w:val="0"/>
          <w:bCs w:val="0"/>
          <w:color w:val="auto"/>
          <w:sz w:val="32"/>
          <w:szCs w:val="32"/>
          <w:highlight w:val="none"/>
          <w:lang w:val="en-US" w:eastAsia="zh-CN"/>
        </w:rPr>
        <w:t>省委编办2021年业务费项目</w:t>
      </w:r>
      <w:r>
        <w:rPr>
          <w:rFonts w:hint="eastAsia" w:ascii="仿宋_GB2312" w:hAnsi="仿宋_GB2312" w:eastAsia="仿宋_GB2312" w:cs="仿宋_GB2312"/>
          <w:b w:val="0"/>
          <w:bCs w:val="0"/>
          <w:color w:val="auto"/>
          <w:kern w:val="0"/>
          <w:sz w:val="32"/>
          <w:szCs w:val="32"/>
          <w:highlight w:val="none"/>
          <w:lang w:val="en-US" w:eastAsia="zh-CN" w:bidi="ar-SA"/>
        </w:rPr>
        <w:t>与实施单位职责密切相关，</w:t>
      </w:r>
      <w:r>
        <w:rPr>
          <w:rFonts w:hint="eastAsia" w:cs="仿宋_GB2312"/>
          <w:b w:val="0"/>
          <w:bCs w:val="0"/>
          <w:color w:val="auto"/>
          <w:sz w:val="32"/>
          <w:szCs w:val="32"/>
          <w:highlight w:val="none"/>
          <w:lang w:val="en-US" w:eastAsia="zh-CN"/>
        </w:rPr>
        <w:t>根据项目预算及项目实施内容编制了项目绩效目标表，明确了项目总目标和年度任务目标，任务目标与项目内容紧密结合、符合客观实际，预期产出效益和效果符合正常的业绩水平，具备合理性。</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200"/>
        <w:jc w:val="both"/>
        <w:textAlignment w:val="auto"/>
        <w:rPr>
          <w:rFonts w:hint="eastAsia" w:cs="仿宋_GB2312"/>
          <w:b/>
          <w:color w:val="auto"/>
          <w:sz w:val="32"/>
          <w:szCs w:val="32"/>
          <w:highlight w:val="none"/>
          <w:lang w:val="en-US" w:eastAsia="zh-CN"/>
        </w:rPr>
      </w:pPr>
      <w:r>
        <w:rPr>
          <w:rFonts w:hint="eastAsia" w:cs="仿宋_GB2312"/>
          <w:b/>
          <w:color w:val="auto"/>
          <w:sz w:val="32"/>
          <w:szCs w:val="32"/>
          <w:highlight w:val="none"/>
          <w:lang w:val="en-US" w:eastAsia="zh-CN"/>
        </w:rPr>
        <w:t>（2）绩效指标明确性</w:t>
      </w:r>
      <w:r>
        <w:rPr>
          <w:rFonts w:hint="eastAsia" w:ascii="仿宋_GB2312" w:hAnsi="仿宋_GB2312" w:eastAsia="仿宋_GB2312" w:cs="仿宋_GB2312"/>
          <w:b/>
          <w:color w:val="auto"/>
          <w:sz w:val="32"/>
          <w:szCs w:val="32"/>
          <w:highlight w:val="none"/>
        </w:rPr>
        <w:t>（</w:t>
      </w:r>
      <w:r>
        <w:rPr>
          <w:rFonts w:hint="eastAsia"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cs="仿宋_GB2312"/>
          <w:b w:val="0"/>
          <w:bCs w:val="0"/>
          <w:color w:val="auto"/>
          <w:sz w:val="32"/>
          <w:szCs w:val="32"/>
          <w:highlight w:val="yellow"/>
          <w:lang w:val="en-US" w:eastAsia="zh-CN"/>
        </w:rPr>
      </w:pPr>
      <w:r>
        <w:rPr>
          <w:rFonts w:hint="eastAsia" w:ascii="仿宋_GB2312" w:hAnsi="仿宋_GB2312" w:eastAsia="仿宋_GB2312" w:cs="仿宋_GB2312"/>
          <w:b w:val="0"/>
          <w:bCs w:val="0"/>
          <w:color w:val="auto"/>
          <w:sz w:val="32"/>
          <w:szCs w:val="32"/>
          <w:highlight w:val="none"/>
          <w:lang w:val="en-US" w:eastAsia="zh-CN"/>
        </w:rPr>
        <w:t>绩效指标明确性指标分值</w:t>
      </w:r>
      <w:r>
        <w:rPr>
          <w:rFonts w:hint="eastAsia"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分，得分为</w:t>
      </w:r>
      <w:r>
        <w:rPr>
          <w:rFonts w:hint="eastAsia"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分。</w:t>
      </w:r>
      <w:r>
        <w:rPr>
          <w:rFonts w:hint="eastAsia" w:cs="仿宋_GB2312"/>
          <w:b w:val="0"/>
          <w:bCs w:val="0"/>
          <w:color w:val="auto"/>
          <w:sz w:val="32"/>
          <w:szCs w:val="32"/>
          <w:highlight w:val="none"/>
          <w:lang w:val="en-US" w:eastAsia="zh-CN"/>
        </w:rPr>
        <w:t>省委编办2021年业务费项目绩效目标能够清晰反映项目实施所达到的预期效果，并按照定量和定性相结合的要求设置绩效指标，着重突出产出、成本、效益、可持续影响力和满意度等核心绩效指标。将绩效目标量化为数量、质量、时效、成本，以及社会效益、满意度和影响力等二级指标，并细化为31项三级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color w:val="auto"/>
          <w:szCs w:val="32"/>
          <w:highlight w:val="none"/>
          <w:lang w:val="en-US" w:eastAsia="zh-CN"/>
        </w:rPr>
      </w:pPr>
      <w:r>
        <w:rPr>
          <w:rFonts w:hint="eastAsia" w:cs="仿宋_GB2312"/>
          <w:b/>
          <w:color w:val="auto"/>
          <w:szCs w:val="32"/>
          <w:highlight w:val="none"/>
          <w:lang w:val="en-US" w:eastAsia="zh-CN"/>
        </w:rPr>
        <w:t>3</w:t>
      </w:r>
      <w:r>
        <w:rPr>
          <w:rFonts w:hint="eastAsia" w:ascii="仿宋_GB2312" w:hAnsi="仿宋_GB2312" w:eastAsia="仿宋_GB2312" w:cs="仿宋_GB2312"/>
          <w:b/>
          <w:color w:val="auto"/>
          <w:szCs w:val="32"/>
          <w:highlight w:val="none"/>
          <w:lang w:val="en-US" w:eastAsia="zh-CN"/>
        </w:rPr>
        <w:t>.资金</w:t>
      </w:r>
      <w:r>
        <w:rPr>
          <w:rFonts w:hint="eastAsia" w:cs="仿宋_GB2312"/>
          <w:b/>
          <w:color w:val="auto"/>
          <w:szCs w:val="32"/>
          <w:highlight w:val="none"/>
          <w:lang w:val="en-US" w:eastAsia="zh-CN"/>
        </w:rPr>
        <w:t>投入</w:t>
      </w:r>
      <w:r>
        <w:rPr>
          <w:rFonts w:hint="eastAsia" w:ascii="仿宋_GB2312" w:hAnsi="仿宋_GB2312" w:eastAsia="仿宋_GB2312" w:cs="仿宋_GB2312"/>
          <w:b/>
          <w:color w:val="auto"/>
          <w:szCs w:val="32"/>
          <w:highlight w:val="none"/>
          <w:lang w:val="en-US" w:eastAsia="zh-CN"/>
        </w:rPr>
        <w:t>（</w:t>
      </w:r>
      <w:r>
        <w:rPr>
          <w:rFonts w:hint="eastAsia" w:cs="仿宋_GB2312"/>
          <w:b/>
          <w:color w:val="auto"/>
          <w:szCs w:val="32"/>
          <w:highlight w:val="none"/>
          <w:lang w:val="en-US" w:eastAsia="zh-CN"/>
        </w:rPr>
        <w:t>2</w:t>
      </w:r>
      <w:r>
        <w:rPr>
          <w:rFonts w:hint="eastAsia" w:ascii="仿宋_GB2312" w:hAnsi="仿宋_GB2312" w:eastAsia="仿宋_GB2312" w:cs="仿宋_GB2312"/>
          <w:b/>
          <w:color w:val="auto"/>
          <w:szCs w:val="32"/>
          <w:highlight w:val="none"/>
          <w:lang w:val="en-US" w:eastAsia="zh-CN"/>
        </w:rPr>
        <w:t>分）</w:t>
      </w:r>
      <w:r>
        <w:rPr>
          <w:rFonts w:hint="eastAsia" w:cs="仿宋_GB2312"/>
          <w:b/>
          <w:color w:val="auto"/>
          <w:szCs w:val="32"/>
          <w:highlight w:val="none"/>
          <w:lang w:val="en-US" w:eastAsia="zh-CN"/>
        </w:rPr>
        <w:t>（-2分）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资金投入指标分值4分，得分为</w:t>
      </w:r>
      <w:r>
        <w:rPr>
          <w:rFonts w:hint="eastAsia" w:cs="仿宋_GB2312"/>
          <w:b w:val="0"/>
          <w:bCs w:val="0"/>
          <w:color w:val="auto"/>
          <w:kern w:val="0"/>
          <w:sz w:val="32"/>
          <w:szCs w:val="32"/>
          <w:highlight w:val="none"/>
          <w:lang w:val="en-US" w:eastAsia="zh-CN" w:bidi="ar-SA"/>
        </w:rPr>
        <w:t>2</w:t>
      </w:r>
      <w:r>
        <w:rPr>
          <w:rFonts w:hint="eastAsia" w:ascii="仿宋_GB2312" w:hAnsi="仿宋_GB2312" w:eastAsia="仿宋_GB2312" w:cs="仿宋_GB2312"/>
          <w:b w:val="0"/>
          <w:bCs w:val="0"/>
          <w:color w:val="auto"/>
          <w:kern w:val="0"/>
          <w:sz w:val="32"/>
          <w:szCs w:val="32"/>
          <w:highlight w:val="none"/>
          <w:lang w:val="en-US" w:eastAsia="zh-CN" w:bidi="ar-SA"/>
        </w:rPr>
        <w:t>分。</w:t>
      </w:r>
      <w:r>
        <w:rPr>
          <w:rFonts w:hint="eastAsia" w:cs="仿宋_GB2312"/>
          <w:b w:val="0"/>
          <w:bCs w:val="0"/>
          <w:color w:val="auto"/>
          <w:kern w:val="0"/>
          <w:sz w:val="32"/>
          <w:szCs w:val="32"/>
          <w:highlight w:val="none"/>
          <w:lang w:val="en-US" w:eastAsia="zh-CN" w:bidi="ar-SA"/>
        </w:rPr>
        <w:t>省委编办2021年业务费项目预算编制的科学性不高，</w:t>
      </w:r>
      <w:r>
        <w:rPr>
          <w:rFonts w:hint="eastAsia" w:cs="仿宋_GB2312"/>
          <w:color w:val="auto"/>
          <w:szCs w:val="32"/>
          <w:highlight w:val="none"/>
          <w:lang w:eastAsia="zh-CN"/>
        </w:rPr>
        <w:t>部分预算资金有支出分配，但预算资金分配无相关测算依据</w:t>
      </w:r>
      <w:r>
        <w:rPr>
          <w:rFonts w:hint="eastAsia" w:cs="仿宋_GB2312"/>
          <w:b w:val="0"/>
          <w:bCs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color w:val="auto"/>
          <w:szCs w:val="32"/>
          <w:highlight w:val="none"/>
          <w:lang w:val="en-US" w:eastAsia="zh-CN"/>
        </w:rPr>
      </w:pPr>
      <w:r>
        <w:rPr>
          <w:rFonts w:hint="eastAsia" w:ascii="仿宋_GB2312" w:hAnsi="仿宋_GB2312" w:eastAsia="仿宋_GB2312" w:cs="仿宋_GB2312"/>
          <w:b/>
          <w:color w:val="auto"/>
          <w:szCs w:val="32"/>
          <w:highlight w:val="none"/>
          <w:lang w:val="en-US" w:eastAsia="zh-CN"/>
        </w:rPr>
        <w:t>（1）预算编制科学性（</w:t>
      </w:r>
      <w:r>
        <w:rPr>
          <w:rFonts w:hint="eastAsia" w:cs="仿宋_GB2312"/>
          <w:b/>
          <w:color w:val="auto"/>
          <w:szCs w:val="32"/>
          <w:highlight w:val="none"/>
          <w:lang w:val="en-US" w:eastAsia="zh-CN"/>
        </w:rPr>
        <w:t>1</w:t>
      </w:r>
      <w:r>
        <w:rPr>
          <w:rFonts w:hint="eastAsia" w:ascii="仿宋_GB2312" w:hAnsi="仿宋_GB2312" w:eastAsia="仿宋_GB2312" w:cs="仿宋_GB2312"/>
          <w:b/>
          <w:color w:val="auto"/>
          <w:szCs w:val="32"/>
          <w:highlight w:val="none"/>
          <w:lang w:val="en-US" w:eastAsia="zh-CN"/>
        </w:rPr>
        <w:t>分）（</w:t>
      </w:r>
      <w:r>
        <w:rPr>
          <w:rFonts w:hint="eastAsia" w:cs="仿宋_GB2312"/>
          <w:b/>
          <w:color w:val="auto"/>
          <w:szCs w:val="32"/>
          <w:highlight w:val="none"/>
          <w:lang w:val="en-US" w:eastAsia="zh-CN"/>
        </w:rPr>
        <w:t>-1</w:t>
      </w:r>
      <w:r>
        <w:rPr>
          <w:rFonts w:hint="eastAsia" w:ascii="仿宋_GB2312" w:hAnsi="仿宋_GB2312" w:eastAsia="仿宋_GB2312" w:cs="仿宋_GB2312"/>
          <w:b/>
          <w:color w:val="auto"/>
          <w:szCs w:val="32"/>
          <w:highlight w:val="none"/>
          <w:lang w:val="en-US" w:eastAsia="zh-CN"/>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 w:val="0"/>
          <w:bCs w:val="0"/>
          <w:color w:val="auto"/>
          <w:kern w:val="0"/>
          <w:sz w:val="32"/>
          <w:szCs w:val="32"/>
          <w:highlight w:val="none"/>
          <w:lang w:val="en-US" w:eastAsia="zh-CN" w:bidi="ar-SA"/>
        </w:rPr>
      </w:pPr>
      <w:r>
        <w:rPr>
          <w:rFonts w:hint="eastAsia" w:cs="仿宋_GB2312"/>
          <w:b w:val="0"/>
          <w:bCs w:val="0"/>
          <w:color w:val="auto"/>
          <w:kern w:val="0"/>
          <w:sz w:val="32"/>
          <w:szCs w:val="32"/>
          <w:highlight w:val="none"/>
          <w:lang w:val="en-US" w:eastAsia="zh-CN" w:bidi="ar-SA"/>
        </w:rPr>
        <w:t>预算编制科学性指标分值2分，指标得分1分。经查阅省委编办相关项目资料，省委编办2021年业务费项目根据年度目标任务编制预算，将专项支出分类依次落实、细化到具体项目上，但预算额度分解无明确标准。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cs="仿宋_GB2312"/>
          <w:b w:val="0"/>
          <w:bCs w:val="0"/>
          <w:color w:val="auto"/>
          <w:kern w:val="0"/>
          <w:sz w:val="32"/>
          <w:szCs w:val="32"/>
          <w:highlight w:val="none"/>
          <w:lang w:val="en-US" w:eastAsia="zh-CN" w:bidi="ar-SA"/>
        </w:rPr>
        <w:t>根据指标体系评分标准，项目预算编制的科学性不高，扣1分，</w:t>
      </w:r>
      <w:r>
        <w:rPr>
          <w:rFonts w:hint="eastAsia" w:ascii="仿宋_GB2312" w:hAnsi="仿宋_GB2312" w:eastAsia="仿宋_GB2312" w:cs="仿宋_GB2312"/>
          <w:b w:val="0"/>
          <w:bCs w:val="0"/>
          <w:color w:val="auto"/>
          <w:kern w:val="0"/>
          <w:sz w:val="32"/>
          <w:szCs w:val="32"/>
          <w:highlight w:val="none"/>
          <w:lang w:val="en-US" w:eastAsia="zh-CN" w:bidi="ar-SA"/>
        </w:rPr>
        <w:t>得分为</w:t>
      </w:r>
      <w:r>
        <w:rPr>
          <w:rFonts w:hint="eastAsia" w:cs="仿宋_GB2312"/>
          <w:b w:val="0"/>
          <w:bCs w:val="0"/>
          <w:color w:val="auto"/>
          <w:kern w:val="0"/>
          <w:sz w:val="32"/>
          <w:szCs w:val="32"/>
          <w:highlight w:val="none"/>
          <w:lang w:val="en-US" w:eastAsia="zh-CN" w:bidi="ar-SA"/>
        </w:rPr>
        <w:t>1</w:t>
      </w:r>
      <w:r>
        <w:rPr>
          <w:rFonts w:hint="eastAsia" w:ascii="仿宋_GB2312" w:hAnsi="仿宋_GB2312" w:eastAsia="仿宋_GB2312" w:cs="仿宋_GB2312"/>
          <w:b w:val="0"/>
          <w:bCs w:val="0"/>
          <w:color w:val="auto"/>
          <w:kern w:val="0"/>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Cs w:val="32"/>
          <w:highlight w:val="none"/>
          <w:lang w:eastAsia="zh-CN"/>
        </w:rPr>
      </w:pPr>
      <w:r>
        <w:rPr>
          <w:rFonts w:hint="eastAsia" w:cs="仿宋_GB2312"/>
          <w:b/>
          <w:bCs/>
          <w:color w:val="auto"/>
          <w:highlight w:val="none"/>
          <w:lang w:eastAsia="zh-CN"/>
        </w:rPr>
        <w:t>（</w:t>
      </w:r>
      <w:r>
        <w:rPr>
          <w:rFonts w:hint="eastAsia" w:cs="仿宋_GB2312"/>
          <w:b/>
          <w:bCs/>
          <w:color w:val="auto"/>
          <w:highlight w:val="none"/>
          <w:lang w:val="en-US" w:eastAsia="zh-CN"/>
        </w:rPr>
        <w:t>2</w:t>
      </w:r>
      <w:r>
        <w:rPr>
          <w:rFonts w:hint="eastAsia" w:cs="仿宋_GB2312"/>
          <w:b/>
          <w:bCs/>
          <w:color w:val="auto"/>
          <w:highlight w:val="none"/>
          <w:lang w:eastAsia="zh-CN"/>
        </w:rPr>
        <w:t>）</w:t>
      </w:r>
      <w:r>
        <w:rPr>
          <w:rFonts w:hint="eastAsia" w:ascii="仿宋_GB2312" w:hAnsi="仿宋_GB2312" w:cs="仿宋_GB2312"/>
          <w:b/>
          <w:bCs/>
          <w:color w:val="auto"/>
          <w:highlight w:val="none"/>
        </w:rPr>
        <w:t>资金分配合理性</w:t>
      </w:r>
      <w:r>
        <w:rPr>
          <w:rFonts w:hint="eastAsia" w:ascii="仿宋_GB2312" w:hAnsi="仿宋_GB2312" w:cs="仿宋_GB2312"/>
          <w:b/>
          <w:bCs/>
          <w:color w:val="auto"/>
          <w:szCs w:val="32"/>
          <w:highlight w:val="none"/>
        </w:rPr>
        <w:t>（</w:t>
      </w:r>
      <w:r>
        <w:rPr>
          <w:rFonts w:hint="eastAsia" w:cs="仿宋_GB2312"/>
          <w:b/>
          <w:bCs/>
          <w:color w:val="auto"/>
          <w:szCs w:val="32"/>
          <w:highlight w:val="none"/>
          <w:lang w:val="en-US" w:eastAsia="zh-CN"/>
        </w:rPr>
        <w:t>1</w:t>
      </w:r>
      <w:r>
        <w:rPr>
          <w:rFonts w:hint="eastAsia" w:ascii="仿宋_GB2312" w:hAnsi="仿宋_GB2312" w:cs="仿宋_GB2312"/>
          <w:b/>
          <w:bCs/>
          <w:color w:val="auto"/>
          <w:szCs w:val="32"/>
          <w:highlight w:val="none"/>
        </w:rPr>
        <w:t>分）</w:t>
      </w:r>
      <w:r>
        <w:rPr>
          <w:rFonts w:hint="eastAsia" w:cs="仿宋_GB2312"/>
          <w:b/>
          <w:bCs/>
          <w:color w:val="auto"/>
          <w:szCs w:val="32"/>
          <w:highlight w:val="none"/>
          <w:lang w:eastAsia="zh-CN"/>
        </w:rPr>
        <w:t>（</w:t>
      </w:r>
      <w:r>
        <w:rPr>
          <w:rFonts w:hint="eastAsia" w:cs="仿宋_GB2312"/>
          <w:b/>
          <w:bCs/>
          <w:color w:val="auto"/>
          <w:szCs w:val="32"/>
          <w:highlight w:val="none"/>
          <w:lang w:val="en-US" w:eastAsia="zh-CN"/>
        </w:rPr>
        <w:t>-1分</w:t>
      </w:r>
      <w:r>
        <w:rPr>
          <w:rFonts w:hint="eastAsia" w:cs="仿宋_GB2312"/>
          <w:b/>
          <w:bCs/>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仿宋_GB2312"/>
          <w:color w:val="auto"/>
          <w:szCs w:val="32"/>
          <w:highlight w:val="none"/>
          <w:lang w:val="en-US" w:eastAsia="zh-CN"/>
        </w:rPr>
      </w:pPr>
      <w:r>
        <w:rPr>
          <w:rFonts w:hint="eastAsia" w:ascii="仿宋_GB2312" w:hAnsi="仿宋_GB2312" w:cs="仿宋_GB2312"/>
          <w:color w:val="auto"/>
          <w:szCs w:val="32"/>
          <w:highlight w:val="none"/>
        </w:rPr>
        <w:t>资金分配合理性指标分值</w:t>
      </w:r>
      <w:r>
        <w:rPr>
          <w:rFonts w:hint="eastAsia" w:cs="仿宋_GB2312"/>
          <w:color w:val="auto"/>
          <w:szCs w:val="32"/>
          <w:highlight w:val="none"/>
          <w:lang w:val="en-US" w:eastAsia="zh-CN"/>
        </w:rPr>
        <w:t>2</w:t>
      </w:r>
      <w:r>
        <w:rPr>
          <w:rFonts w:hint="eastAsia" w:ascii="仿宋_GB2312" w:hAnsi="仿宋_GB2312" w:cs="仿宋_GB2312"/>
          <w:color w:val="auto"/>
          <w:szCs w:val="32"/>
          <w:highlight w:val="none"/>
        </w:rPr>
        <w:t>分，指标得分</w:t>
      </w:r>
      <w:r>
        <w:rPr>
          <w:rFonts w:hint="eastAsia" w:cs="仿宋_GB2312"/>
          <w:color w:val="auto"/>
          <w:szCs w:val="32"/>
          <w:highlight w:val="none"/>
          <w:lang w:val="en-US" w:eastAsia="zh-CN"/>
        </w:rPr>
        <w:t>1</w:t>
      </w:r>
      <w:r>
        <w:rPr>
          <w:rFonts w:hint="eastAsia" w:ascii="仿宋_GB2312" w:hAnsi="仿宋_GB2312" w:cs="仿宋_GB2312"/>
          <w:color w:val="auto"/>
          <w:szCs w:val="32"/>
          <w:highlight w:val="none"/>
        </w:rPr>
        <w:t>分。</w:t>
      </w:r>
      <w:r>
        <w:rPr>
          <w:rFonts w:hint="eastAsia" w:cs="仿宋_GB2312"/>
          <w:color w:val="auto"/>
          <w:szCs w:val="32"/>
          <w:highlight w:val="none"/>
          <w:lang w:eastAsia="zh-CN"/>
        </w:rPr>
        <w:t>经</w:t>
      </w:r>
      <w:r>
        <w:rPr>
          <w:rFonts w:hint="eastAsia" w:cs="仿宋_GB2312"/>
          <w:b w:val="0"/>
          <w:bCs w:val="0"/>
          <w:color w:val="auto"/>
          <w:kern w:val="0"/>
          <w:sz w:val="32"/>
          <w:szCs w:val="32"/>
          <w:highlight w:val="none"/>
          <w:lang w:val="en-US" w:eastAsia="zh-CN" w:bidi="ar-SA"/>
        </w:rPr>
        <w:t>查阅省委编办相关项目资料</w:t>
      </w:r>
      <w:r>
        <w:rPr>
          <w:rFonts w:hint="eastAsia" w:cs="仿宋_GB2312"/>
          <w:color w:val="auto"/>
          <w:szCs w:val="32"/>
          <w:highlight w:val="none"/>
          <w:lang w:eastAsia="zh-CN"/>
        </w:rPr>
        <w:t>，省委编办在年初编制预算时，对</w:t>
      </w:r>
      <w:r>
        <w:rPr>
          <w:rFonts w:hint="eastAsia" w:cs="仿宋_GB2312"/>
          <w:color w:val="auto"/>
          <w:szCs w:val="32"/>
          <w:highlight w:val="none"/>
          <w:lang w:val="en-US" w:eastAsia="zh-CN"/>
        </w:rPr>
        <w:t>320万元</w:t>
      </w:r>
      <w:r>
        <w:rPr>
          <w:rFonts w:hint="eastAsia" w:cs="仿宋_GB2312"/>
          <w:color w:val="auto"/>
          <w:szCs w:val="32"/>
          <w:highlight w:val="none"/>
          <w:lang w:eastAsia="zh-CN"/>
        </w:rPr>
        <w:t>202</w:t>
      </w:r>
      <w:r>
        <w:rPr>
          <w:rFonts w:hint="eastAsia" w:cs="仿宋_GB2312"/>
          <w:color w:val="auto"/>
          <w:szCs w:val="32"/>
          <w:highlight w:val="none"/>
          <w:lang w:val="en-US" w:eastAsia="zh-CN"/>
        </w:rPr>
        <w:t>1</w:t>
      </w:r>
      <w:r>
        <w:rPr>
          <w:rFonts w:hint="eastAsia" w:cs="仿宋_GB2312"/>
          <w:color w:val="auto"/>
          <w:szCs w:val="32"/>
          <w:highlight w:val="none"/>
          <w:lang w:eastAsia="zh-CN"/>
        </w:rPr>
        <w:t>年业务费项目</w:t>
      </w:r>
      <w:r>
        <w:rPr>
          <w:rFonts w:hint="eastAsia" w:cs="仿宋_GB2312"/>
          <w:color w:val="auto"/>
          <w:szCs w:val="32"/>
          <w:highlight w:val="none"/>
          <w:lang w:val="en-US" w:eastAsia="zh-CN"/>
        </w:rPr>
        <w:t>的</w:t>
      </w:r>
      <w:r>
        <w:rPr>
          <w:rFonts w:hint="eastAsia" w:cs="仿宋_GB2312"/>
          <w:color w:val="auto"/>
          <w:szCs w:val="32"/>
          <w:highlight w:val="none"/>
          <w:lang w:eastAsia="zh-CN"/>
        </w:rPr>
        <w:t>日常运行支出进行了分配测算，其中办公费155万元、印刷费26万元、电费15万元、取暖费10万元、差旅费10万元、租赁费10万元、会议费11万元、培训费14万元、公务接待费3万元、委托业务费35万元、办公设备购置6万元、信息网络及软件购置更新25万元。但公务接待费未支出，办公费、培训费分别结余</w:t>
      </w:r>
      <w:r>
        <w:rPr>
          <w:rFonts w:hint="eastAsia" w:cs="仿宋_GB2312"/>
          <w:color w:val="auto"/>
          <w:szCs w:val="32"/>
          <w:highlight w:val="none"/>
          <w:lang w:val="en-US" w:eastAsia="zh-CN"/>
        </w:rPr>
        <w:t>49.66</w:t>
      </w:r>
      <w:r>
        <w:rPr>
          <w:rFonts w:hint="eastAsia" w:cs="仿宋_GB2312"/>
          <w:color w:val="auto"/>
          <w:szCs w:val="32"/>
          <w:highlight w:val="none"/>
          <w:lang w:eastAsia="zh-CN"/>
        </w:rPr>
        <w:t>万元、</w:t>
      </w:r>
      <w:r>
        <w:rPr>
          <w:rFonts w:hint="eastAsia" w:cs="仿宋_GB2312"/>
          <w:color w:val="auto"/>
          <w:szCs w:val="32"/>
          <w:highlight w:val="none"/>
          <w:lang w:val="en-US" w:eastAsia="zh-CN"/>
        </w:rPr>
        <w:t>10.63</w:t>
      </w:r>
      <w:r>
        <w:rPr>
          <w:rFonts w:hint="eastAsia" w:cs="仿宋_GB2312"/>
          <w:color w:val="auto"/>
          <w:szCs w:val="32"/>
          <w:highlight w:val="none"/>
          <w:lang w:eastAsia="zh-CN"/>
        </w:rPr>
        <w:t>万元，占比</w:t>
      </w:r>
      <w:r>
        <w:rPr>
          <w:rFonts w:hint="eastAsia" w:cs="仿宋_GB2312"/>
          <w:color w:val="auto"/>
          <w:szCs w:val="32"/>
          <w:highlight w:val="none"/>
          <w:lang w:val="en-US" w:eastAsia="zh-CN"/>
        </w:rPr>
        <w:t>32.04%</w:t>
      </w:r>
      <w:r>
        <w:rPr>
          <w:rFonts w:hint="eastAsia" w:cs="仿宋_GB2312"/>
          <w:color w:val="auto"/>
          <w:szCs w:val="32"/>
          <w:highlight w:val="none"/>
          <w:lang w:eastAsia="zh-CN"/>
        </w:rPr>
        <w:t>、</w:t>
      </w:r>
      <w:r>
        <w:rPr>
          <w:rFonts w:hint="eastAsia" w:cs="仿宋_GB2312"/>
          <w:color w:val="auto"/>
          <w:szCs w:val="32"/>
          <w:highlight w:val="none"/>
          <w:lang w:val="en-US" w:eastAsia="zh-CN"/>
        </w:rPr>
        <w:t>75.93%</w:t>
      </w:r>
      <w:r>
        <w:rPr>
          <w:rFonts w:hint="eastAsia" w:cs="仿宋_GB2312"/>
          <w:color w:val="auto"/>
          <w:szCs w:val="32"/>
          <w:highlight w:val="none"/>
          <w:lang w:eastAsia="zh-CN"/>
        </w:rPr>
        <w:t>，结余比例较高，且</w:t>
      </w:r>
      <w:r>
        <w:rPr>
          <w:rFonts w:hint="eastAsia" w:cs="仿宋_GB2312"/>
          <w:color w:val="auto"/>
          <w:szCs w:val="32"/>
          <w:highlight w:val="none"/>
          <w:lang w:val="en-US" w:eastAsia="zh-CN"/>
        </w:rPr>
        <w:t>无相关预算资金分配依据。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szCs w:val="32"/>
          <w:highlight w:val="none"/>
          <w:lang w:val="en-US" w:eastAsia="zh-CN"/>
        </w:rPr>
      </w:pPr>
      <w:bookmarkStart w:id="81" w:name="_Toc11691"/>
      <w:bookmarkStart w:id="82" w:name="_Toc13838"/>
      <w:r>
        <w:rPr>
          <w:rFonts w:hint="eastAsia" w:ascii="仿宋_GB2312" w:hAnsi="仿宋_GB2312" w:eastAsia="仿宋_GB2312" w:cs="仿宋_GB2312"/>
          <w:b w:val="0"/>
          <w:color w:val="auto"/>
          <w:kern w:val="2"/>
          <w:sz w:val="32"/>
          <w:szCs w:val="32"/>
          <w:highlight w:val="none"/>
          <w:lang w:val="en-US" w:eastAsia="zh-CN" w:bidi="ar-SA"/>
        </w:rPr>
        <w:t>根据指标体系评分标准，项目部分预算资金</w:t>
      </w:r>
      <w:r>
        <w:rPr>
          <w:rFonts w:hint="eastAsia" w:cs="仿宋_GB2312"/>
          <w:b w:val="0"/>
          <w:color w:val="auto"/>
          <w:kern w:val="2"/>
          <w:sz w:val="32"/>
          <w:szCs w:val="32"/>
          <w:highlight w:val="none"/>
          <w:lang w:val="en-US" w:eastAsia="zh-CN" w:bidi="ar-SA"/>
        </w:rPr>
        <w:t>未</w:t>
      </w:r>
      <w:r>
        <w:rPr>
          <w:rFonts w:hint="eastAsia" w:ascii="仿宋_GB2312" w:hAnsi="仿宋_GB2312" w:eastAsia="仿宋_GB2312" w:cs="仿宋_GB2312"/>
          <w:b w:val="0"/>
          <w:color w:val="auto"/>
          <w:kern w:val="2"/>
          <w:sz w:val="32"/>
          <w:szCs w:val="32"/>
          <w:highlight w:val="none"/>
          <w:lang w:val="en-US" w:eastAsia="zh-CN" w:bidi="ar-SA"/>
        </w:rPr>
        <w:t>支出，</w:t>
      </w:r>
      <w:r>
        <w:rPr>
          <w:rFonts w:hint="eastAsia" w:cs="仿宋_GB2312"/>
          <w:b w:val="0"/>
          <w:color w:val="auto"/>
          <w:kern w:val="2"/>
          <w:sz w:val="32"/>
          <w:szCs w:val="32"/>
          <w:highlight w:val="none"/>
          <w:lang w:val="en-US" w:eastAsia="zh-CN" w:bidi="ar-SA"/>
        </w:rPr>
        <w:t>且</w:t>
      </w:r>
      <w:r>
        <w:rPr>
          <w:rFonts w:hint="eastAsia" w:ascii="仿宋_GB2312" w:hAnsi="仿宋_GB2312" w:eastAsia="仿宋_GB2312" w:cs="仿宋_GB2312"/>
          <w:b w:val="0"/>
          <w:color w:val="auto"/>
          <w:kern w:val="2"/>
          <w:sz w:val="32"/>
          <w:szCs w:val="32"/>
          <w:highlight w:val="none"/>
          <w:lang w:val="en-US" w:eastAsia="zh-CN" w:bidi="ar-SA"/>
        </w:rPr>
        <w:t>预算资金分配无相关测算依据，扣1分，得分为1分。</w:t>
      </w:r>
      <w:bookmarkEnd w:id="81"/>
      <w:r>
        <w:rPr>
          <w:rFonts w:hint="eastAsia" w:ascii="仿宋_GB2312" w:hAnsi="仿宋_GB2312" w:eastAsia="仿宋_GB2312" w:cs="仿宋_GB2312"/>
          <w:b w:val="0"/>
          <w:color w:val="auto"/>
          <w:kern w:val="2"/>
          <w:sz w:val="32"/>
          <w:szCs w:val="32"/>
          <w:highlight w:val="none"/>
          <w:lang w:val="en-US" w:eastAsia="zh-CN" w:bidi="ar-SA"/>
        </w:rPr>
        <w:t xml:space="preserve"> </w:t>
      </w:r>
      <w:r>
        <w:rPr>
          <w:rFonts w:hint="eastAsia" w:cs="仿宋_GB2312"/>
          <w:color w:val="auto"/>
          <w:szCs w:val="32"/>
          <w:highlight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color w:val="auto"/>
          <w:highlight w:val="none"/>
          <w:lang w:val="en-US" w:eastAsia="zh-CN"/>
        </w:rPr>
      </w:pPr>
      <w:bookmarkStart w:id="83" w:name="_Toc9444"/>
      <w:r>
        <w:rPr>
          <w:rFonts w:hint="eastAsia" w:ascii="楷体_GB2312" w:hAnsi="楷体_GB2312" w:eastAsia="楷体_GB2312" w:cs="楷体_GB2312"/>
          <w:b w:val="0"/>
          <w:bCs/>
          <w:color w:val="auto"/>
          <w:highlight w:val="none"/>
          <w:lang w:val="en-US" w:eastAsia="zh-CN"/>
        </w:rPr>
        <w:fldChar w:fldCharType="begin"/>
      </w:r>
      <w:r>
        <w:rPr>
          <w:rFonts w:hint="eastAsia" w:ascii="楷体_GB2312" w:hAnsi="楷体_GB2312" w:eastAsia="楷体_GB2312" w:cs="楷体_GB2312"/>
          <w:b w:val="0"/>
          <w:bCs/>
          <w:color w:val="auto"/>
          <w:highlight w:val="none"/>
          <w:lang w:val="en-US" w:eastAsia="zh-CN"/>
        </w:rPr>
        <w:instrText xml:space="preserve"> HYPERLINK \l "_Toc30985" </w:instrText>
      </w:r>
      <w:r>
        <w:rPr>
          <w:rFonts w:hint="eastAsia" w:ascii="楷体_GB2312" w:hAnsi="楷体_GB2312" w:eastAsia="楷体_GB2312" w:cs="楷体_GB2312"/>
          <w:b w:val="0"/>
          <w:bCs/>
          <w:color w:val="auto"/>
          <w:highlight w:val="none"/>
          <w:lang w:val="en-US" w:eastAsia="zh-CN"/>
        </w:rPr>
        <w:fldChar w:fldCharType="separate"/>
      </w:r>
      <w:r>
        <w:rPr>
          <w:rFonts w:hint="eastAsia" w:ascii="楷体_GB2312" w:hAnsi="楷体_GB2312" w:eastAsia="楷体_GB2312" w:cs="楷体_GB2312"/>
          <w:b w:val="0"/>
          <w:bCs/>
          <w:color w:val="auto"/>
          <w:highlight w:val="none"/>
          <w:lang w:val="en-US" w:eastAsia="zh-CN"/>
        </w:rPr>
        <w:t>（二）项目过程</w:t>
      </w:r>
      <w:r>
        <w:rPr>
          <w:rFonts w:hint="eastAsia" w:ascii="楷体_GB2312" w:hAnsi="楷体_GB2312" w:eastAsia="楷体_GB2312" w:cs="楷体_GB2312"/>
          <w:b w:val="0"/>
          <w:bCs/>
          <w:color w:val="auto"/>
          <w:highlight w:val="none"/>
          <w:lang w:val="en-US" w:eastAsia="zh-CN"/>
        </w:rPr>
        <w:fldChar w:fldCharType="end"/>
      </w:r>
      <w:r>
        <w:rPr>
          <w:rFonts w:hint="eastAsia" w:ascii="楷体_GB2312" w:hAnsi="楷体_GB2312" w:eastAsia="楷体_GB2312" w:cs="楷体_GB2312"/>
          <w:b w:val="0"/>
          <w:bCs/>
          <w:color w:val="auto"/>
          <w:highlight w:val="none"/>
          <w:lang w:val="en-US" w:eastAsia="zh-CN"/>
        </w:rPr>
        <w:t>情况</w:t>
      </w:r>
      <w:bookmarkEnd w:id="82"/>
      <w:bookmarkEnd w:id="83"/>
    </w:p>
    <w:p>
      <w:pPr>
        <w:keepNext w:val="0"/>
        <w:keepLines w:val="0"/>
        <w:pageBreakBefore w:val="0"/>
        <w:widowControl w:val="0"/>
        <w:kinsoku/>
        <w:wordWrap/>
        <w:overflowPunct/>
        <w:topLinePunct w:val="0"/>
        <w:autoSpaceDE/>
        <w:autoSpaceDN/>
        <w:bidi w:val="0"/>
        <w:adjustRightInd/>
        <w:snapToGrid/>
        <w:spacing w:line="560" w:lineRule="exact"/>
        <w:ind w:leftChars="0" w:firstLine="643"/>
        <w:textAlignment w:val="auto"/>
        <w:rPr>
          <w:rFonts w:hint="eastAsia" w:ascii="仿宋_GB2312" w:hAnsi="仿宋_GB2312" w:eastAsia="仿宋_GB2312" w:cs="仿宋_GB2312"/>
          <w:color w:val="auto"/>
          <w:highlight w:val="none"/>
          <w:lang w:val="en-US" w:eastAsia="zh-CN"/>
        </w:rPr>
      </w:pPr>
      <w:r>
        <w:rPr>
          <w:rFonts w:hint="eastAsia" w:cs="仿宋_GB2312"/>
          <w:color w:val="auto"/>
          <w:highlight w:val="none"/>
          <w:lang w:val="en-US" w:eastAsia="zh-CN"/>
        </w:rPr>
        <w:t>省委编办2021年业务费项目</w:t>
      </w:r>
      <w:r>
        <w:rPr>
          <w:rFonts w:hint="eastAsia" w:ascii="仿宋_GB2312" w:hAnsi="仿宋_GB2312" w:eastAsia="仿宋_GB2312" w:cs="仿宋_GB2312"/>
          <w:color w:val="auto"/>
          <w:highlight w:val="none"/>
          <w:lang w:val="en-US" w:eastAsia="zh-CN"/>
        </w:rPr>
        <w:t>绩效评价</w:t>
      </w:r>
      <w:r>
        <w:rPr>
          <w:rFonts w:hint="eastAsia" w:cs="仿宋_GB2312"/>
          <w:color w:val="auto"/>
          <w:highlight w:val="none"/>
          <w:lang w:val="en-US" w:eastAsia="zh-CN"/>
        </w:rPr>
        <w:t>过程</w:t>
      </w:r>
      <w:r>
        <w:rPr>
          <w:rFonts w:hint="eastAsia" w:ascii="仿宋_GB2312" w:hAnsi="仿宋_GB2312" w:eastAsia="仿宋_GB2312" w:cs="仿宋_GB2312"/>
          <w:color w:val="auto"/>
          <w:highlight w:val="none"/>
          <w:lang w:val="en-US" w:eastAsia="zh-CN"/>
        </w:rPr>
        <w:t>类指标分别</w:t>
      </w:r>
      <w:r>
        <w:rPr>
          <w:rFonts w:hint="eastAsia" w:cs="仿宋_GB2312"/>
          <w:color w:val="auto"/>
          <w:highlight w:val="none"/>
          <w:lang w:val="en-US" w:eastAsia="zh-CN"/>
        </w:rPr>
        <w:t>从资金管理</w:t>
      </w:r>
      <w:r>
        <w:rPr>
          <w:rFonts w:hint="eastAsia" w:ascii="仿宋_GB2312" w:hAnsi="仿宋_GB2312" w:eastAsia="仿宋_GB2312" w:cs="仿宋_GB2312"/>
          <w:color w:val="auto"/>
          <w:highlight w:val="none"/>
          <w:lang w:val="en-US" w:eastAsia="zh-CN"/>
        </w:rPr>
        <w:t>和</w:t>
      </w:r>
      <w:r>
        <w:rPr>
          <w:rFonts w:hint="eastAsia" w:cs="仿宋_GB2312"/>
          <w:color w:val="auto"/>
          <w:highlight w:val="none"/>
          <w:lang w:val="en-US" w:eastAsia="zh-CN"/>
        </w:rPr>
        <w:t>组织实施两个方面进行综合分析。各项</w:t>
      </w:r>
      <w:r>
        <w:rPr>
          <w:rFonts w:hint="eastAsia" w:ascii="仿宋_GB2312" w:hAnsi="仿宋_GB2312" w:eastAsia="仿宋_GB2312" w:cs="仿宋_GB2312"/>
          <w:color w:val="auto"/>
          <w:highlight w:val="none"/>
          <w:lang w:val="en-US" w:eastAsia="zh-CN"/>
        </w:rPr>
        <w:t>指标具体得分情况如下表所示：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2199"/>
        <w:gridCol w:w="3242"/>
        <w:gridCol w:w="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5"/>
            <w:tcBorders>
              <w:top w:val="nil"/>
              <w:left w:val="nil"/>
              <w:bottom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表</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过程</w:t>
            </w:r>
            <w:r>
              <w:rPr>
                <w:rFonts w:hint="eastAsia" w:ascii="宋体" w:hAnsi="宋体" w:eastAsia="宋体" w:cs="宋体"/>
                <w:b/>
                <w:bCs/>
                <w:color w:val="auto"/>
                <w:sz w:val="28"/>
                <w:szCs w:val="28"/>
                <w:highlight w:val="none"/>
              </w:rPr>
              <w:t>类各项指标绩效评价</w:t>
            </w:r>
            <w:r>
              <w:rPr>
                <w:rFonts w:hint="eastAsia" w:ascii="宋体" w:hAnsi="宋体" w:eastAsia="宋体" w:cs="宋体"/>
                <w:b/>
                <w:color w:val="auto"/>
                <w:sz w:val="28"/>
                <w:szCs w:val="28"/>
                <w:highlight w:val="none"/>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tcBorders>
              <w:top w:val="double" w:color="000000" w:sz="4" w:space="0"/>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一级指标</w:t>
            </w:r>
          </w:p>
        </w:tc>
        <w:tc>
          <w:tcPr>
            <w:tcW w:w="2199" w:type="dxa"/>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二级指标</w:t>
            </w:r>
          </w:p>
        </w:tc>
        <w:tc>
          <w:tcPr>
            <w:tcW w:w="3242" w:type="dxa"/>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三级指标</w:t>
            </w:r>
          </w:p>
        </w:tc>
        <w:tc>
          <w:tcPr>
            <w:tcW w:w="1106" w:type="dxa"/>
            <w:gridSpan w:val="2"/>
            <w:tcBorders>
              <w:top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restart"/>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过程</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得分率：</w:t>
            </w:r>
            <w:r>
              <w:rPr>
                <w:rFonts w:hint="eastAsia" w:ascii="宋体" w:hAnsi="宋体" w:eastAsia="宋体" w:cs="宋体"/>
                <w:bCs/>
                <w:color w:val="auto"/>
                <w:sz w:val="28"/>
                <w:szCs w:val="28"/>
                <w:highlight w:val="none"/>
                <w:lang w:val="en-US" w:eastAsia="zh-CN"/>
              </w:rPr>
              <w:t>96</w:t>
            </w:r>
            <w:r>
              <w:rPr>
                <w:rFonts w:hint="eastAsia" w:ascii="宋体" w:hAnsi="宋体" w:eastAsia="宋体" w:cs="宋体"/>
                <w:bCs/>
                <w:color w:val="auto"/>
                <w:sz w:val="28"/>
                <w:szCs w:val="28"/>
                <w:highlight w:val="none"/>
              </w:rPr>
              <w:t>%</w:t>
            </w:r>
          </w:p>
        </w:tc>
        <w:tc>
          <w:tcPr>
            <w:tcW w:w="2199" w:type="dxa"/>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资金管理</w:t>
            </w:r>
          </w:p>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8"/>
                <w:szCs w:val="28"/>
                <w:highlight w:val="none"/>
                <w:u w:val="single"/>
                <w:lang w:val="en-US" w:eastAsia="zh-CN"/>
              </w:rPr>
            </w:pPr>
            <w:r>
              <w:rPr>
                <w:rFonts w:hint="eastAsia" w:ascii="宋体" w:hAnsi="宋体" w:eastAsia="宋体" w:cs="宋体"/>
                <w:bCs/>
                <w:color w:val="auto"/>
                <w:sz w:val="28"/>
                <w:szCs w:val="28"/>
                <w:highlight w:val="none"/>
              </w:rPr>
              <w:t>得分率：</w:t>
            </w:r>
            <w:r>
              <w:rPr>
                <w:rFonts w:hint="eastAsia" w:ascii="宋体" w:hAnsi="宋体" w:eastAsia="宋体" w:cs="宋体"/>
                <w:bCs/>
                <w:color w:val="auto"/>
                <w:sz w:val="28"/>
                <w:szCs w:val="28"/>
                <w:highlight w:val="none"/>
                <w:lang w:val="en-US" w:eastAsia="zh-CN"/>
              </w:rPr>
              <w:t>93.33</w:t>
            </w:r>
            <w:r>
              <w:rPr>
                <w:rFonts w:hint="eastAsia" w:ascii="宋体" w:hAnsi="宋体" w:eastAsia="宋体" w:cs="宋体"/>
                <w:bCs/>
                <w:color w:val="auto"/>
                <w:sz w:val="28"/>
                <w:szCs w:val="28"/>
                <w:highlight w:val="none"/>
              </w:rPr>
              <w:t>%</w:t>
            </w:r>
          </w:p>
        </w:tc>
        <w:tc>
          <w:tcPr>
            <w:tcW w:w="32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kern w:val="0"/>
                <w:sz w:val="28"/>
                <w:szCs w:val="28"/>
                <w:highlight w:val="none"/>
                <w:lang w:eastAsia="zh-CN"/>
              </w:rPr>
              <w:t>资金到位率</w:t>
            </w:r>
          </w:p>
        </w:tc>
        <w:tc>
          <w:tcPr>
            <w:tcW w:w="1106"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219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32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kern w:val="0"/>
                <w:sz w:val="28"/>
                <w:szCs w:val="28"/>
                <w:highlight w:val="none"/>
                <w:lang w:eastAsia="zh-CN"/>
              </w:rPr>
              <w:t>预算执行率</w:t>
            </w:r>
          </w:p>
        </w:tc>
        <w:tc>
          <w:tcPr>
            <w:tcW w:w="1106"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219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32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kern w:val="0"/>
                <w:sz w:val="28"/>
                <w:szCs w:val="28"/>
                <w:highlight w:val="none"/>
              </w:rPr>
              <w:t>资金使用合规性</w:t>
            </w:r>
          </w:p>
        </w:tc>
        <w:tc>
          <w:tcPr>
            <w:tcW w:w="1106"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219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8"/>
                <w:szCs w:val="28"/>
                <w:highlight w:val="none"/>
              </w:rPr>
            </w:pPr>
          </w:p>
        </w:tc>
        <w:tc>
          <w:tcPr>
            <w:tcW w:w="32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lang w:val="en-US" w:eastAsia="zh-CN"/>
              </w:rPr>
            </w:pPr>
            <w:r>
              <w:rPr>
                <w:rFonts w:hint="eastAsia" w:ascii="宋体" w:hAnsi="宋体" w:eastAsia="宋体" w:cs="宋体"/>
                <w:i w:val="0"/>
                <w:iCs w:val="0"/>
                <w:color w:val="auto"/>
                <w:kern w:val="0"/>
                <w:sz w:val="28"/>
                <w:szCs w:val="28"/>
                <w:highlight w:val="none"/>
                <w:lang w:val="en-US" w:eastAsia="zh-CN" w:bidi="ar-SA"/>
              </w:rPr>
              <w:t>会计信息质量</w:t>
            </w:r>
          </w:p>
        </w:tc>
        <w:tc>
          <w:tcPr>
            <w:tcW w:w="1106"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kern w:val="2"/>
                <w:sz w:val="28"/>
                <w:szCs w:val="28"/>
                <w:highlight w:val="none"/>
                <w:lang w:val="en-US" w:eastAsia="zh-CN" w:bidi="ar-SA"/>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2199" w:type="dxa"/>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lang w:val="en-US" w:eastAsia="zh-CN"/>
              </w:rPr>
            </w:pPr>
            <w:r>
              <w:rPr>
                <w:rFonts w:hint="eastAsia" w:ascii="宋体" w:hAnsi="宋体" w:eastAsia="宋体" w:cs="宋体"/>
                <w:b/>
                <w:color w:val="auto"/>
                <w:sz w:val="28"/>
                <w:szCs w:val="28"/>
                <w:highlight w:val="none"/>
                <w:u w:val="single"/>
                <w:lang w:val="en-US" w:eastAsia="zh-CN"/>
              </w:rPr>
              <w:t>组织实施</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r>
              <w:rPr>
                <w:rFonts w:hint="eastAsia" w:ascii="宋体" w:hAnsi="宋体" w:eastAsia="宋体" w:cs="宋体"/>
                <w:bCs/>
                <w:color w:val="auto"/>
                <w:sz w:val="28"/>
                <w:szCs w:val="28"/>
                <w:highlight w:val="none"/>
              </w:rPr>
              <w:t>得分率：</w:t>
            </w:r>
            <w:r>
              <w:rPr>
                <w:rFonts w:hint="eastAsia" w:ascii="宋体" w:hAnsi="宋体" w:eastAsia="宋体" w:cs="宋体"/>
                <w:bCs/>
                <w:color w:val="auto"/>
                <w:sz w:val="28"/>
                <w:szCs w:val="28"/>
                <w:highlight w:val="none"/>
                <w:lang w:val="en-US" w:eastAsia="zh-CN"/>
              </w:rPr>
              <w:t>100</w:t>
            </w:r>
            <w:r>
              <w:rPr>
                <w:rFonts w:hint="eastAsia" w:ascii="宋体" w:hAnsi="宋体" w:eastAsia="宋体" w:cs="宋体"/>
                <w:bCs/>
                <w:color w:val="auto"/>
                <w:sz w:val="28"/>
                <w:szCs w:val="28"/>
                <w:highlight w:val="none"/>
              </w:rPr>
              <w:t>%</w:t>
            </w:r>
          </w:p>
        </w:tc>
        <w:tc>
          <w:tcPr>
            <w:tcW w:w="32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kern w:val="0"/>
                <w:sz w:val="28"/>
                <w:szCs w:val="28"/>
                <w:highlight w:val="none"/>
              </w:rPr>
              <w:t>管理制度健全性</w:t>
            </w:r>
          </w:p>
        </w:tc>
        <w:tc>
          <w:tcPr>
            <w:tcW w:w="1106"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219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32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lang w:eastAsia="zh-CN"/>
              </w:rPr>
            </w:pPr>
            <w:r>
              <w:rPr>
                <w:rFonts w:hint="eastAsia" w:ascii="宋体" w:hAnsi="宋体" w:eastAsia="宋体" w:cs="宋体"/>
                <w:b w:val="0"/>
                <w:bCs w:val="0"/>
                <w:i w:val="0"/>
                <w:iCs w:val="0"/>
                <w:color w:val="auto"/>
                <w:kern w:val="0"/>
                <w:sz w:val="28"/>
                <w:szCs w:val="28"/>
                <w:highlight w:val="none"/>
                <w:lang w:val="en-US" w:eastAsia="zh-CN"/>
              </w:rPr>
              <w:t>制度执行有效性</w:t>
            </w:r>
          </w:p>
        </w:tc>
        <w:tc>
          <w:tcPr>
            <w:tcW w:w="1106"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219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32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lang w:eastAsia="zh-CN"/>
              </w:rPr>
            </w:pPr>
            <w:r>
              <w:rPr>
                <w:rFonts w:hint="eastAsia" w:ascii="宋体" w:hAnsi="宋体" w:eastAsia="宋体" w:cs="宋体"/>
                <w:bCs/>
                <w:i w:val="0"/>
                <w:iCs w:val="0"/>
                <w:color w:val="auto"/>
                <w:sz w:val="28"/>
                <w:szCs w:val="28"/>
                <w:highlight w:val="none"/>
                <w:lang w:eastAsia="zh-CN"/>
              </w:rPr>
              <w:t>采购管理合规性</w:t>
            </w:r>
          </w:p>
        </w:tc>
        <w:tc>
          <w:tcPr>
            <w:tcW w:w="1101" w:type="dxa"/>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s="宋体"/>
                <w:i/>
                <w:iCs/>
                <w:color w:val="auto"/>
                <w:sz w:val="28"/>
                <w:szCs w:val="28"/>
                <w:highlight w:val="none"/>
                <w:lang w:val="en-US" w:eastAsia="zh-CN"/>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219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u w:val="single"/>
              </w:rPr>
            </w:pPr>
          </w:p>
        </w:tc>
        <w:tc>
          <w:tcPr>
            <w:tcW w:w="324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8"/>
                <w:szCs w:val="28"/>
                <w:highlight w:val="none"/>
              </w:rPr>
            </w:pPr>
            <w:r>
              <w:rPr>
                <w:rFonts w:hint="eastAsia" w:ascii="宋体" w:hAnsi="宋体" w:eastAsia="宋体" w:cs="宋体"/>
                <w:i w:val="0"/>
                <w:iCs w:val="0"/>
                <w:color w:val="auto"/>
                <w:kern w:val="0"/>
                <w:sz w:val="28"/>
                <w:szCs w:val="28"/>
                <w:highlight w:val="none"/>
                <w:lang w:val="en-US" w:eastAsia="zh-CN"/>
              </w:rPr>
              <w:t>档案管理规范性</w:t>
            </w:r>
          </w:p>
        </w:tc>
        <w:tc>
          <w:tcPr>
            <w:tcW w:w="1101" w:type="dxa"/>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8"/>
                <w:szCs w:val="28"/>
                <w:highlight w:val="none"/>
                <w:lang w:val="en-US"/>
              </w:rPr>
            </w:pPr>
            <w:r>
              <w:rPr>
                <w:rFonts w:hint="eastAsia" w:ascii="宋体" w:hAnsi="宋体" w:eastAsia="宋体" w:cs="宋体"/>
                <w:i/>
                <w:iCs/>
                <w:color w:val="auto"/>
                <w:sz w:val="28"/>
                <w:szCs w:val="28"/>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21" w:type="dxa"/>
            <w:gridSpan w:val="4"/>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过程</w:t>
            </w:r>
            <w:r>
              <w:rPr>
                <w:rFonts w:hint="eastAsia" w:ascii="宋体" w:hAnsi="宋体" w:eastAsia="宋体" w:cs="宋体"/>
                <w:b/>
                <w:color w:val="auto"/>
                <w:sz w:val="28"/>
                <w:szCs w:val="28"/>
                <w:highlight w:val="none"/>
              </w:rPr>
              <w:t>”情况评级</w:t>
            </w:r>
          </w:p>
        </w:tc>
        <w:tc>
          <w:tcPr>
            <w:tcW w:w="1101" w:type="dxa"/>
            <w:tcBorders>
              <w:right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优</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bCs/>
          <w:color w:val="auto"/>
          <w:highlight w:val="none"/>
          <w:lang w:val="en-US" w:eastAsia="zh-CN"/>
        </w:rPr>
      </w:pPr>
      <w:r>
        <w:rPr>
          <w:rFonts w:hint="eastAsia"/>
          <w:b/>
          <w:bCs/>
          <w:color w:val="auto"/>
          <w:highlight w:val="none"/>
          <w:lang w:val="en-US" w:eastAsia="zh-CN"/>
        </w:rPr>
        <w:t>1.资金管理（14分）（-1分）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b/>
          <w:bCs/>
          <w:color w:val="auto"/>
          <w:highlight w:val="none"/>
          <w:lang w:val="en-US" w:eastAsia="zh-CN"/>
        </w:rPr>
      </w:pPr>
      <w:r>
        <w:rPr>
          <w:rFonts w:hint="eastAsia" w:cs="仿宋_GB2312"/>
          <w:b w:val="0"/>
          <w:bCs w:val="0"/>
          <w:color w:val="auto"/>
          <w:sz w:val="32"/>
          <w:szCs w:val="32"/>
          <w:highlight w:val="none"/>
          <w:lang w:val="en-US" w:eastAsia="zh-CN"/>
        </w:rPr>
        <w:t>资金管理</w:t>
      </w:r>
      <w:r>
        <w:rPr>
          <w:rFonts w:hint="eastAsia" w:ascii="仿宋_GB2312" w:hAnsi="仿宋_GB2312" w:eastAsia="仿宋_GB2312" w:cs="仿宋_GB2312"/>
          <w:b w:val="0"/>
          <w:bCs w:val="0"/>
          <w:color w:val="auto"/>
          <w:sz w:val="32"/>
          <w:szCs w:val="32"/>
          <w:highlight w:val="none"/>
          <w:lang w:val="en-US" w:eastAsia="zh-CN"/>
        </w:rPr>
        <w:t>指标分值</w:t>
      </w:r>
      <w:r>
        <w:rPr>
          <w:rFonts w:hint="eastAsia"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val="en-US" w:eastAsia="zh-CN"/>
        </w:rPr>
        <w:t>分，得分为</w:t>
      </w:r>
      <w:r>
        <w:rPr>
          <w:rFonts w:hint="eastAsia" w:cs="仿宋_GB2312"/>
          <w:b w:val="0"/>
          <w:bCs w:val="0"/>
          <w:color w:val="auto"/>
          <w:sz w:val="32"/>
          <w:szCs w:val="32"/>
          <w:highlight w:val="none"/>
          <w:lang w:val="en-US" w:eastAsia="zh-CN"/>
        </w:rPr>
        <w:t>14</w:t>
      </w:r>
      <w:r>
        <w:rPr>
          <w:rFonts w:hint="eastAsia" w:ascii="仿宋_GB2312" w:hAnsi="仿宋_GB2312" w:eastAsia="仿宋_GB2312" w:cs="仿宋_GB2312"/>
          <w:b w:val="0"/>
          <w:bCs w:val="0"/>
          <w:color w:val="auto"/>
          <w:sz w:val="32"/>
          <w:szCs w:val="32"/>
          <w:highlight w:val="none"/>
          <w:lang w:val="en-US" w:eastAsia="zh-CN"/>
        </w:rPr>
        <w:t>分。</w:t>
      </w:r>
      <w:r>
        <w:rPr>
          <w:rFonts w:hint="eastAsia" w:cs="仿宋_GB2312"/>
          <w:color w:val="auto"/>
          <w:kern w:val="2"/>
          <w:sz w:val="32"/>
          <w:szCs w:val="24"/>
          <w:highlight w:val="none"/>
          <w:lang w:val="en-US" w:eastAsia="zh-CN" w:bidi="ar-SA"/>
        </w:rPr>
        <w:t>省委编办2021年业务费项目预算资金足额到位，资金使用合规，不存在截留、挤占、挪用、虚列支出等情况，</w:t>
      </w:r>
      <w:r>
        <w:rPr>
          <w:rFonts w:hint="eastAsia" w:ascii="仿宋_GB2312" w:hAnsi="仿宋_GB2312" w:cs="仿宋_GB2312"/>
          <w:color w:val="auto"/>
          <w:szCs w:val="32"/>
          <w:highlight w:val="none"/>
        </w:rPr>
        <w:t>会计信息真实完整、凭证齐全</w:t>
      </w:r>
      <w:r>
        <w:rPr>
          <w:rFonts w:hint="eastAsia" w:cs="仿宋_GB2312"/>
          <w:color w:val="auto"/>
          <w:szCs w:val="32"/>
          <w:highlight w:val="none"/>
          <w:lang w:eastAsia="zh-CN"/>
        </w:rPr>
        <w:t>。但部分预算资金未支出，</w:t>
      </w:r>
      <w:r>
        <w:rPr>
          <w:rFonts w:hint="eastAsia" w:cs="仿宋_GB2312"/>
          <w:color w:val="auto"/>
          <w:kern w:val="2"/>
          <w:sz w:val="32"/>
          <w:szCs w:val="24"/>
          <w:highlight w:val="none"/>
          <w:lang w:val="en-US" w:eastAsia="zh-CN" w:bidi="ar-SA"/>
        </w:rPr>
        <w:t>预算执行率76.8%，</w:t>
      </w:r>
      <w:r>
        <w:rPr>
          <w:rFonts w:hint="eastAsia" w:cs="仿宋_GB2312"/>
          <w:color w:val="auto"/>
          <w:szCs w:val="32"/>
          <w:highlight w:val="none"/>
          <w:lang w:eastAsia="zh-CN"/>
        </w:rPr>
        <w:t>未充分发挥资金使用效益。</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cs="仿宋_GB2312"/>
          <w:b/>
          <w:bCs/>
          <w:color w:val="auto"/>
          <w:sz w:val="32"/>
          <w:szCs w:val="32"/>
          <w:highlight w:val="none"/>
          <w:lang w:val="en-US" w:eastAsia="zh-CN"/>
        </w:rPr>
      </w:pPr>
      <w:r>
        <w:rPr>
          <w:rFonts w:hint="eastAsia" w:cs="仿宋_GB2312"/>
          <w:b/>
          <w:bCs/>
          <w:color w:val="auto"/>
          <w:sz w:val="32"/>
          <w:szCs w:val="32"/>
          <w:highlight w:val="none"/>
          <w:lang w:val="en-US" w:eastAsia="zh-CN"/>
        </w:rPr>
        <w:t>（1）资金到位率（3分）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r>
        <w:rPr>
          <w:rFonts w:hint="eastAsia" w:cs="仿宋_GB2312"/>
          <w:color w:val="auto"/>
          <w:highlight w:val="none"/>
          <w:lang w:val="en-US" w:eastAsia="zh-CN"/>
        </w:rPr>
        <w:t>资金到位率指标分值3分，得分为3分。经查阅</w:t>
      </w:r>
      <w:r>
        <w:rPr>
          <w:rFonts w:hint="eastAsia"/>
          <w:color w:val="auto"/>
          <w:highlight w:val="none"/>
          <w:lang w:val="en-US" w:eastAsia="zh-CN"/>
        </w:rPr>
        <w:t>省委编办项目资金记账凭证，省委编办2021年业务费项目预算320万元，截止2021年12月31日，实际拨付到位</w:t>
      </w:r>
      <w:r>
        <w:rPr>
          <w:rFonts w:hint="eastAsia" w:cs="仿宋_GB2312"/>
          <w:b w:val="0"/>
          <w:bCs w:val="0"/>
          <w:color w:val="auto"/>
          <w:sz w:val="32"/>
          <w:szCs w:val="32"/>
          <w:highlight w:val="none"/>
          <w:lang w:val="en-US" w:eastAsia="zh-CN"/>
        </w:rPr>
        <w:t>320万元</w:t>
      </w:r>
      <w:r>
        <w:rPr>
          <w:rFonts w:hint="eastAsia"/>
          <w:color w:val="auto"/>
          <w:highlight w:val="none"/>
          <w:lang w:val="en-US" w:eastAsia="zh-CN"/>
        </w:rPr>
        <w:t>。资金到位率</w:t>
      </w:r>
      <w:r>
        <w:rPr>
          <w:rFonts w:hint="eastAsia" w:cs="仿宋_GB2312"/>
          <w:color w:val="auto"/>
          <w:kern w:val="2"/>
          <w:sz w:val="32"/>
          <w:szCs w:val="32"/>
          <w:highlight w:val="none"/>
          <w:lang w:val="en-US" w:eastAsia="zh-CN" w:bidi="ar-SA"/>
        </w:rPr>
        <w:t>＝</w:t>
      </w:r>
      <w:r>
        <w:rPr>
          <w:rFonts w:hint="eastAsia"/>
          <w:color w:val="auto"/>
          <w:highlight w:val="none"/>
          <w:lang w:val="en-US" w:eastAsia="zh-CN"/>
        </w:rPr>
        <w:t>（实际到位资金/预算资金）×100%</w:t>
      </w:r>
      <w:r>
        <w:rPr>
          <w:rFonts w:hint="eastAsia" w:cs="仿宋_GB2312"/>
          <w:color w:val="auto"/>
          <w:kern w:val="2"/>
          <w:sz w:val="32"/>
          <w:szCs w:val="32"/>
          <w:highlight w:val="none"/>
          <w:lang w:val="en-US" w:eastAsia="zh-CN" w:bidi="ar-SA"/>
        </w:rPr>
        <w:t>＝320</w:t>
      </w:r>
      <w:r>
        <w:rPr>
          <w:rFonts w:hint="eastAsia"/>
          <w:color w:val="auto"/>
          <w:highlight w:val="none"/>
          <w:lang w:val="en-US" w:eastAsia="zh-CN"/>
        </w:rPr>
        <w:t>/320*100%</w:t>
      </w:r>
      <w:r>
        <w:rPr>
          <w:rFonts w:hint="eastAsia" w:cs="仿宋_GB2312"/>
          <w:color w:val="auto"/>
          <w:kern w:val="2"/>
          <w:sz w:val="32"/>
          <w:szCs w:val="32"/>
          <w:highlight w:val="none"/>
          <w:lang w:val="en-US" w:eastAsia="zh-CN" w:bidi="ar-SA"/>
        </w:rPr>
        <w:t>＝</w:t>
      </w:r>
      <w:r>
        <w:rPr>
          <w:rFonts w:hint="eastAsia"/>
          <w:color w:val="auto"/>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仿宋_GB2312"/>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w:t>
      </w:r>
      <w:r>
        <w:rPr>
          <w:rFonts w:hint="eastAsia" w:cs="仿宋_GB2312"/>
          <w:b w:val="0"/>
          <w:bCs w:val="0"/>
          <w:color w:val="auto"/>
          <w:sz w:val="32"/>
          <w:szCs w:val="32"/>
          <w:highlight w:val="none"/>
          <w:lang w:val="en-US" w:eastAsia="zh-CN"/>
        </w:rPr>
        <w:t>指</w:t>
      </w:r>
      <w:r>
        <w:rPr>
          <w:rFonts w:hint="eastAsia" w:cs="仿宋_GB2312"/>
          <w:color w:val="auto"/>
          <w:highlight w:val="none"/>
          <w:lang w:val="en-US" w:eastAsia="zh-CN"/>
        </w:rPr>
        <w:t>标体系评分标准，资金到位率</w:t>
      </w:r>
      <w:r>
        <w:rPr>
          <w:rFonts w:hint="eastAsia"/>
          <w:color w:val="auto"/>
          <w:highlight w:val="none"/>
          <w:lang w:val="en-US" w:eastAsia="zh-CN"/>
        </w:rPr>
        <w:t>100%</w:t>
      </w:r>
      <w:r>
        <w:rPr>
          <w:rFonts w:hint="eastAsia" w:cs="仿宋_GB2312"/>
          <w:color w:val="auto"/>
          <w:highlight w:val="none"/>
          <w:lang w:val="en-US" w:eastAsia="zh-CN"/>
        </w:rPr>
        <w:t>。指标分值</w:t>
      </w:r>
      <w:r>
        <w:rPr>
          <w:rFonts w:hint="eastAsia" w:cs="仿宋_GB2312"/>
          <w:color w:val="auto"/>
          <w:kern w:val="2"/>
          <w:sz w:val="32"/>
          <w:szCs w:val="32"/>
          <w:highlight w:val="none"/>
          <w:lang w:val="en-US" w:eastAsia="zh-CN" w:bidi="ar-SA"/>
        </w:rPr>
        <w:t>＝</w:t>
      </w:r>
      <w:r>
        <w:rPr>
          <w:rFonts w:hint="eastAsia" w:cs="仿宋_GB2312"/>
          <w:color w:val="auto"/>
          <w:highlight w:val="none"/>
          <w:lang w:val="en-US" w:eastAsia="zh-CN"/>
        </w:rPr>
        <w:t>资金到位率*满分值3分</w:t>
      </w:r>
      <w:r>
        <w:rPr>
          <w:rFonts w:hint="eastAsia" w:cs="仿宋_GB2312"/>
          <w:color w:val="auto"/>
          <w:kern w:val="2"/>
          <w:sz w:val="32"/>
          <w:szCs w:val="32"/>
          <w:highlight w:val="none"/>
          <w:lang w:val="en-US" w:eastAsia="zh-CN" w:bidi="ar-SA"/>
        </w:rPr>
        <w:t>＝</w:t>
      </w:r>
      <w:r>
        <w:rPr>
          <w:rFonts w:hint="eastAsia"/>
          <w:color w:val="auto"/>
          <w:highlight w:val="none"/>
          <w:lang w:val="en-US" w:eastAsia="zh-CN"/>
        </w:rPr>
        <w:t>100%</w:t>
      </w:r>
      <w:r>
        <w:rPr>
          <w:rFonts w:hint="eastAsia" w:cs="仿宋_GB2312"/>
          <w:color w:val="auto"/>
          <w:highlight w:val="none"/>
          <w:lang w:val="en-US" w:eastAsia="zh-CN"/>
        </w:rPr>
        <w:t>*3分</w:t>
      </w:r>
      <w:r>
        <w:rPr>
          <w:rFonts w:hint="eastAsia" w:cs="仿宋_GB2312"/>
          <w:color w:val="auto"/>
          <w:kern w:val="2"/>
          <w:sz w:val="32"/>
          <w:szCs w:val="32"/>
          <w:highlight w:val="none"/>
          <w:lang w:val="en-US" w:eastAsia="zh-CN" w:bidi="ar-SA"/>
        </w:rPr>
        <w:t>＝</w:t>
      </w:r>
      <w:r>
        <w:rPr>
          <w:rFonts w:hint="eastAsia" w:cs="仿宋_GB2312"/>
          <w:color w:val="auto"/>
          <w:highlight w:val="none"/>
          <w:lang w:val="en-US" w:eastAsia="zh-CN"/>
        </w:rPr>
        <w:t>3分，得分为3分。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cs="仿宋_GB2312"/>
          <w:b/>
          <w:bCs/>
          <w:color w:val="auto"/>
          <w:sz w:val="32"/>
          <w:szCs w:val="32"/>
          <w:highlight w:val="none"/>
          <w:lang w:val="en-US" w:eastAsia="zh-CN"/>
        </w:rPr>
        <w:t>（2）预算执行率（3分）（-1分）</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auto"/>
          <w:kern w:val="2"/>
          <w:sz w:val="32"/>
          <w:szCs w:val="24"/>
          <w:highlight w:val="none"/>
          <w:lang w:val="en-US" w:eastAsia="zh-CN" w:bidi="ar-SA"/>
        </w:rPr>
      </w:pPr>
      <w:r>
        <w:rPr>
          <w:rFonts w:hint="eastAsia" w:cs="仿宋_GB2312"/>
          <w:color w:val="auto"/>
          <w:kern w:val="2"/>
          <w:sz w:val="32"/>
          <w:szCs w:val="24"/>
          <w:highlight w:val="none"/>
          <w:lang w:val="en-US" w:eastAsia="zh-CN" w:bidi="ar-SA"/>
        </w:rPr>
        <w:t>预算执行率</w:t>
      </w:r>
      <w:r>
        <w:rPr>
          <w:rFonts w:hint="eastAsia" w:ascii="仿宋_GB2312" w:hAnsi="仿宋_GB2312" w:eastAsia="仿宋_GB2312" w:cs="仿宋_GB2312"/>
          <w:color w:val="auto"/>
          <w:kern w:val="2"/>
          <w:sz w:val="32"/>
          <w:szCs w:val="24"/>
          <w:highlight w:val="none"/>
          <w:lang w:val="en-US" w:eastAsia="zh-CN" w:bidi="ar-SA"/>
        </w:rPr>
        <w:t>指标分值</w:t>
      </w:r>
      <w:r>
        <w:rPr>
          <w:rFonts w:hint="eastAsia" w:cs="仿宋_GB2312"/>
          <w:color w:val="auto"/>
          <w:kern w:val="2"/>
          <w:sz w:val="32"/>
          <w:szCs w:val="24"/>
          <w:highlight w:val="none"/>
          <w:lang w:val="en-US" w:eastAsia="zh-CN" w:bidi="ar-SA"/>
        </w:rPr>
        <w:t>4</w:t>
      </w:r>
      <w:r>
        <w:rPr>
          <w:rFonts w:hint="eastAsia" w:ascii="仿宋_GB2312" w:hAnsi="仿宋_GB2312" w:eastAsia="仿宋_GB2312" w:cs="仿宋_GB2312"/>
          <w:color w:val="auto"/>
          <w:kern w:val="2"/>
          <w:sz w:val="32"/>
          <w:szCs w:val="24"/>
          <w:highlight w:val="none"/>
          <w:lang w:val="en-US" w:eastAsia="zh-CN" w:bidi="ar-SA"/>
        </w:rPr>
        <w:t>分，得分为</w:t>
      </w:r>
      <w:r>
        <w:rPr>
          <w:rFonts w:hint="eastAsia" w:cs="仿宋_GB2312"/>
          <w:color w:val="auto"/>
          <w:kern w:val="2"/>
          <w:sz w:val="32"/>
          <w:szCs w:val="24"/>
          <w:highlight w:val="none"/>
          <w:lang w:val="en-US" w:eastAsia="zh-CN" w:bidi="ar-SA"/>
        </w:rPr>
        <w:t>3</w:t>
      </w:r>
      <w:r>
        <w:rPr>
          <w:rFonts w:hint="eastAsia" w:ascii="仿宋_GB2312" w:hAnsi="仿宋_GB2312" w:eastAsia="仿宋_GB2312" w:cs="仿宋_GB2312"/>
          <w:color w:val="auto"/>
          <w:kern w:val="2"/>
          <w:sz w:val="32"/>
          <w:szCs w:val="24"/>
          <w:highlight w:val="none"/>
          <w:lang w:val="en-US" w:eastAsia="zh-CN" w:bidi="ar-SA"/>
        </w:rPr>
        <w:t>分。</w:t>
      </w:r>
      <w:r>
        <w:rPr>
          <w:rFonts w:hint="eastAsia" w:cs="仿宋_GB2312"/>
          <w:color w:val="auto"/>
          <w:kern w:val="2"/>
          <w:sz w:val="32"/>
          <w:szCs w:val="24"/>
          <w:highlight w:val="none"/>
          <w:lang w:val="en-US" w:eastAsia="zh-CN" w:bidi="ar-SA"/>
        </w:rPr>
        <w:t>经查阅项目资料、财务凭证，截至2021年12月31日，省委编办2021年业务费项目到位资金320万元，实际支出</w:t>
      </w:r>
      <w:r>
        <w:rPr>
          <w:rFonts w:hint="eastAsia" w:ascii="仿宋_GB2312" w:hAnsi="仿宋_GB2312" w:eastAsia="仿宋_GB2312" w:cs="仿宋_GB2312"/>
          <w:b w:val="0"/>
          <w:bCs w:val="0"/>
          <w:color w:val="auto"/>
          <w:sz w:val="32"/>
          <w:szCs w:val="32"/>
          <w:highlight w:val="none"/>
          <w:lang w:val="en-US" w:eastAsia="zh-CN"/>
        </w:rPr>
        <w:t>245.77</w:t>
      </w:r>
      <w:r>
        <w:rPr>
          <w:rFonts w:hint="eastAsia" w:cs="仿宋_GB2312"/>
          <w:color w:val="auto"/>
          <w:kern w:val="2"/>
          <w:sz w:val="32"/>
          <w:szCs w:val="24"/>
          <w:highlight w:val="none"/>
          <w:lang w:val="en-US" w:eastAsia="zh-CN" w:bidi="ar-SA"/>
        </w:rPr>
        <w:t>万元，预算执行率</w:t>
      </w:r>
      <w:r>
        <w:rPr>
          <w:rFonts w:hint="eastAsia" w:cs="仿宋_GB2312"/>
          <w:color w:val="auto"/>
          <w:kern w:val="2"/>
          <w:sz w:val="32"/>
          <w:szCs w:val="32"/>
          <w:highlight w:val="none"/>
          <w:lang w:val="en-US" w:eastAsia="zh-CN" w:bidi="ar-SA"/>
        </w:rPr>
        <w:t>＝</w:t>
      </w:r>
      <w:r>
        <w:rPr>
          <w:rFonts w:hint="eastAsia" w:cs="仿宋_GB2312"/>
          <w:color w:val="auto"/>
          <w:kern w:val="2"/>
          <w:sz w:val="32"/>
          <w:szCs w:val="24"/>
          <w:highlight w:val="none"/>
          <w:lang w:val="en-US" w:eastAsia="zh-CN" w:bidi="ar-SA"/>
        </w:rPr>
        <w:t>（实际支出资金/实际到位资金）×100%</w:t>
      </w:r>
      <w:r>
        <w:rPr>
          <w:rFonts w:hint="eastAsia" w:cs="仿宋_GB2312"/>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245.77</w:t>
      </w:r>
      <w:r>
        <w:rPr>
          <w:rFonts w:hint="eastAsia" w:cs="仿宋_GB2312"/>
          <w:color w:val="auto"/>
          <w:kern w:val="2"/>
          <w:sz w:val="32"/>
          <w:szCs w:val="24"/>
          <w:highlight w:val="none"/>
          <w:lang w:val="en-US" w:eastAsia="zh-CN" w:bidi="ar-SA"/>
        </w:rPr>
        <w:t>/</w:t>
      </w:r>
      <w:r>
        <w:rPr>
          <w:rFonts w:hint="eastAsia" w:cs="仿宋_GB2312"/>
          <w:b w:val="0"/>
          <w:bCs w:val="0"/>
          <w:color w:val="auto"/>
          <w:sz w:val="32"/>
          <w:szCs w:val="32"/>
          <w:highlight w:val="none"/>
          <w:lang w:val="en-US" w:eastAsia="zh-CN"/>
        </w:rPr>
        <w:t>320</w:t>
      </w:r>
      <w:r>
        <w:rPr>
          <w:rFonts w:hint="eastAsia" w:cs="仿宋_GB2312"/>
          <w:color w:val="auto"/>
          <w:kern w:val="2"/>
          <w:sz w:val="32"/>
          <w:szCs w:val="24"/>
          <w:highlight w:val="none"/>
          <w:lang w:val="en-US" w:eastAsia="zh-CN" w:bidi="ar-SA"/>
        </w:rPr>
        <w:t>*100%</w:t>
      </w:r>
      <w:r>
        <w:rPr>
          <w:rFonts w:hint="eastAsia" w:cs="仿宋_GB2312"/>
          <w:color w:val="auto"/>
          <w:kern w:val="2"/>
          <w:sz w:val="32"/>
          <w:szCs w:val="32"/>
          <w:highlight w:val="none"/>
          <w:lang w:val="en-US" w:eastAsia="zh-CN" w:bidi="ar-SA"/>
        </w:rPr>
        <w:t>＝</w:t>
      </w:r>
      <w:r>
        <w:rPr>
          <w:rFonts w:hint="eastAsia" w:cs="仿宋_GB2312"/>
          <w:color w:val="auto"/>
          <w:kern w:val="2"/>
          <w:sz w:val="32"/>
          <w:szCs w:val="24"/>
          <w:highlight w:val="none"/>
          <w:lang w:val="en-US" w:eastAsia="zh-CN" w:bidi="ar-SA"/>
        </w:rPr>
        <w:t>76.8%。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bCs/>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w:t>
      </w:r>
      <w:r>
        <w:rPr>
          <w:rFonts w:hint="eastAsia" w:cs="仿宋_GB2312"/>
          <w:b w:val="0"/>
          <w:bCs w:val="0"/>
          <w:color w:val="auto"/>
          <w:sz w:val="32"/>
          <w:szCs w:val="32"/>
          <w:highlight w:val="none"/>
          <w:lang w:val="en-US" w:eastAsia="zh-CN"/>
        </w:rPr>
        <w:t>指</w:t>
      </w:r>
      <w:r>
        <w:rPr>
          <w:rFonts w:hint="eastAsia" w:cs="仿宋_GB2312"/>
          <w:color w:val="auto"/>
          <w:highlight w:val="none"/>
          <w:lang w:val="en-US" w:eastAsia="zh-CN"/>
        </w:rPr>
        <w:t>标体系评分标准，</w:t>
      </w:r>
      <w:r>
        <w:rPr>
          <w:rFonts w:hint="eastAsia" w:cs="仿宋_GB2312"/>
          <w:color w:val="auto"/>
          <w:kern w:val="2"/>
          <w:sz w:val="32"/>
          <w:szCs w:val="24"/>
          <w:highlight w:val="none"/>
          <w:lang w:val="en-US" w:eastAsia="zh-CN" w:bidi="ar-SA"/>
        </w:rPr>
        <w:t>预算执行率指标得分分值</w:t>
      </w:r>
      <w:r>
        <w:rPr>
          <w:rFonts w:hint="eastAsia" w:cs="仿宋_GB2312"/>
          <w:color w:val="auto"/>
          <w:kern w:val="2"/>
          <w:sz w:val="32"/>
          <w:szCs w:val="32"/>
          <w:highlight w:val="none"/>
          <w:lang w:val="en-US" w:eastAsia="zh-CN" w:bidi="ar-SA"/>
        </w:rPr>
        <w:t>＝</w:t>
      </w:r>
      <w:r>
        <w:rPr>
          <w:rFonts w:hint="eastAsia" w:cs="仿宋_GB2312"/>
          <w:color w:val="auto"/>
          <w:kern w:val="2"/>
          <w:sz w:val="32"/>
          <w:szCs w:val="24"/>
          <w:highlight w:val="none"/>
          <w:lang w:val="en-US" w:eastAsia="zh-CN" w:bidi="ar-SA"/>
        </w:rPr>
        <w:t>预算执行率*指标满分值4分，因此该项指标得分</w:t>
      </w:r>
      <w:r>
        <w:rPr>
          <w:rFonts w:hint="eastAsia" w:cs="仿宋_GB2312"/>
          <w:color w:val="auto"/>
          <w:kern w:val="2"/>
          <w:sz w:val="32"/>
          <w:szCs w:val="32"/>
          <w:highlight w:val="none"/>
          <w:lang w:val="en-US" w:eastAsia="zh-CN" w:bidi="ar-SA"/>
        </w:rPr>
        <w:t>＝</w:t>
      </w:r>
      <w:r>
        <w:rPr>
          <w:rFonts w:hint="eastAsia" w:cs="仿宋_GB2312"/>
          <w:color w:val="auto"/>
          <w:kern w:val="2"/>
          <w:sz w:val="32"/>
          <w:szCs w:val="24"/>
          <w:highlight w:val="none"/>
          <w:lang w:val="en-US" w:eastAsia="zh-CN" w:bidi="ar-SA"/>
        </w:rPr>
        <w:t>76.8%*4分</w:t>
      </w:r>
      <w:r>
        <w:rPr>
          <w:rFonts w:hint="eastAsia" w:cs="仿宋_GB2312"/>
          <w:color w:val="auto"/>
          <w:kern w:val="2"/>
          <w:sz w:val="32"/>
          <w:szCs w:val="32"/>
          <w:highlight w:val="none"/>
          <w:lang w:val="en-US" w:eastAsia="zh-CN" w:bidi="ar-SA"/>
        </w:rPr>
        <w:t>＝</w:t>
      </w:r>
      <w:r>
        <w:rPr>
          <w:rFonts w:hint="eastAsia" w:cs="仿宋_GB2312"/>
          <w:color w:val="auto"/>
          <w:kern w:val="2"/>
          <w:sz w:val="32"/>
          <w:szCs w:val="24"/>
          <w:highlight w:val="none"/>
          <w:lang w:val="en-US" w:eastAsia="zh-CN" w:bidi="ar-SA"/>
        </w:rPr>
        <w:t>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color w:val="auto"/>
          <w:szCs w:val="32"/>
          <w:highlight w:val="none"/>
          <w:lang w:val="en-US" w:eastAsia="zh-CN"/>
        </w:rPr>
      </w:pPr>
      <w:r>
        <w:rPr>
          <w:rFonts w:hint="eastAsia" w:cs="仿宋_GB2312"/>
          <w:b/>
          <w:color w:val="auto"/>
          <w:szCs w:val="32"/>
          <w:highlight w:val="none"/>
          <w:lang w:val="en-US" w:eastAsia="zh-CN"/>
        </w:rPr>
        <w:t>（3）</w:t>
      </w:r>
      <w:r>
        <w:rPr>
          <w:rFonts w:hint="eastAsia" w:cs="仿宋_GB2312"/>
          <w:b/>
          <w:color w:val="auto"/>
          <w:szCs w:val="32"/>
          <w:highlight w:val="none"/>
          <w:lang w:eastAsia="zh-CN"/>
        </w:rPr>
        <w:t>资金使用合规性</w:t>
      </w:r>
      <w:r>
        <w:rPr>
          <w:rFonts w:hint="eastAsia" w:ascii="仿宋_GB2312" w:hAnsi="仿宋_GB2312" w:eastAsia="仿宋_GB2312" w:cs="仿宋_GB2312"/>
          <w:b/>
          <w:color w:val="auto"/>
          <w:szCs w:val="32"/>
          <w:highlight w:val="none"/>
        </w:rPr>
        <w:t>（</w:t>
      </w:r>
      <w:r>
        <w:rPr>
          <w:rFonts w:hint="eastAsia" w:cs="仿宋_GB2312"/>
          <w:b/>
          <w:color w:val="auto"/>
          <w:szCs w:val="32"/>
          <w:highlight w:val="none"/>
          <w:lang w:val="en-US" w:eastAsia="zh-CN"/>
        </w:rPr>
        <w:t>4</w:t>
      </w:r>
      <w:r>
        <w:rPr>
          <w:rFonts w:hint="eastAsia" w:ascii="仿宋_GB2312" w:hAnsi="仿宋_GB2312" w:eastAsia="仿宋_GB2312" w:cs="仿宋_GB2312"/>
          <w:b/>
          <w:color w:val="auto"/>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24"/>
          <w:highlight w:val="none"/>
          <w:lang w:val="en-US" w:eastAsia="zh-CN" w:bidi="ar-SA"/>
        </w:rPr>
      </w:pPr>
      <w:r>
        <w:rPr>
          <w:rFonts w:hint="eastAsia" w:cs="仿宋_GB2312"/>
          <w:color w:val="auto"/>
          <w:kern w:val="2"/>
          <w:sz w:val="32"/>
          <w:szCs w:val="24"/>
          <w:highlight w:val="none"/>
          <w:lang w:val="en-US" w:eastAsia="zh-CN" w:bidi="ar-SA"/>
        </w:rPr>
        <w:t>资金使用合规性指标分值4分，得分为4分。经查阅项目资料、会计凭证，省委编办严格落实办机关</w:t>
      </w:r>
      <w:r>
        <w:rPr>
          <w:rFonts w:hint="eastAsia" w:ascii="仿宋_GB2312" w:hAnsi="仿宋_GB2312" w:eastAsia="仿宋_GB2312" w:cs="仿宋_GB2312"/>
          <w:szCs w:val="32"/>
          <w:highlight w:val="none"/>
          <w:lang w:val="en-US" w:eastAsia="zh-CN"/>
        </w:rPr>
        <w:t>《财务管理办法》</w:t>
      </w:r>
      <w:r>
        <w:rPr>
          <w:rFonts w:hint="eastAsia" w:cs="仿宋_GB2312"/>
          <w:szCs w:val="32"/>
          <w:highlight w:val="none"/>
          <w:lang w:val="en-US" w:eastAsia="zh-CN"/>
        </w:rPr>
        <w:t>和</w:t>
      </w:r>
      <w:r>
        <w:rPr>
          <w:rFonts w:hint="eastAsia" w:ascii="仿宋_GB2312" w:hAnsi="仿宋_GB2312" w:eastAsia="仿宋_GB2312" w:cs="仿宋_GB2312"/>
          <w:szCs w:val="32"/>
          <w:highlight w:val="none"/>
          <w:lang w:val="en-US" w:eastAsia="zh-CN"/>
        </w:rPr>
        <w:t>《专项资金管理办法》</w:t>
      </w:r>
      <w:r>
        <w:rPr>
          <w:rFonts w:hint="eastAsia" w:cs="仿宋_GB2312"/>
          <w:color w:val="auto"/>
          <w:kern w:val="2"/>
          <w:sz w:val="32"/>
          <w:szCs w:val="24"/>
          <w:highlight w:val="none"/>
          <w:lang w:val="en-US" w:eastAsia="zh-CN" w:bidi="ar-SA"/>
        </w:rPr>
        <w:t>相关规定及工作要求，省委编办2021年业务费项目的支出、使用按照相关财经法律法规制度的规定，以及国家有关财务管理制度和办法进行核算，资金的使用和支出具有完整的审批程序和报销手续，资金使用符合年度目标任务的用途，不存在截留、挤占、挪用、虚列支出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s="仿宋_GB2312"/>
          <w:color w:val="auto"/>
          <w:kern w:val="2"/>
          <w:sz w:val="32"/>
          <w:szCs w:val="24"/>
          <w:highlight w:val="none"/>
          <w:lang w:val="en-US" w:eastAsia="zh-CN" w:bidi="ar-SA"/>
        </w:rPr>
      </w:pPr>
      <w:r>
        <w:rPr>
          <w:rFonts w:hint="eastAsia" w:cs="仿宋_GB2312"/>
          <w:color w:val="auto"/>
          <w:kern w:val="2"/>
          <w:sz w:val="32"/>
          <w:szCs w:val="24"/>
          <w:highlight w:val="none"/>
          <w:lang w:val="en-US" w:eastAsia="zh-CN" w:bidi="ar-SA"/>
        </w:rPr>
        <w:t>根据指标体系评分标准，省委编办2021年业务费项目资金使用合规。指标得分4分。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b/>
          <w:color w:val="auto"/>
          <w:szCs w:val="32"/>
          <w:highlight w:val="none"/>
        </w:rPr>
      </w:pPr>
      <w:r>
        <w:rPr>
          <w:rFonts w:hint="eastAsia" w:cs="仿宋_GB2312"/>
          <w:b/>
          <w:color w:val="auto"/>
          <w:szCs w:val="32"/>
          <w:highlight w:val="none"/>
          <w:lang w:eastAsia="zh-CN"/>
        </w:rPr>
        <w:t>（</w:t>
      </w:r>
      <w:r>
        <w:rPr>
          <w:rFonts w:hint="eastAsia" w:cs="仿宋_GB2312"/>
          <w:b/>
          <w:color w:val="auto"/>
          <w:szCs w:val="32"/>
          <w:highlight w:val="none"/>
          <w:lang w:val="en-US" w:eastAsia="zh-CN"/>
        </w:rPr>
        <w:t>4</w:t>
      </w:r>
      <w:r>
        <w:rPr>
          <w:rFonts w:hint="eastAsia" w:cs="仿宋_GB2312"/>
          <w:b/>
          <w:color w:val="auto"/>
          <w:szCs w:val="32"/>
          <w:highlight w:val="none"/>
          <w:lang w:eastAsia="zh-CN"/>
        </w:rPr>
        <w:t>）</w:t>
      </w:r>
      <w:r>
        <w:rPr>
          <w:rFonts w:hint="eastAsia" w:ascii="仿宋_GB2312" w:hAnsi="仿宋_GB2312" w:cs="仿宋_GB2312"/>
          <w:b/>
          <w:color w:val="auto"/>
          <w:szCs w:val="32"/>
          <w:highlight w:val="none"/>
        </w:rPr>
        <w:t>会计信息质量（</w:t>
      </w:r>
      <w:r>
        <w:rPr>
          <w:rFonts w:hint="eastAsia" w:cs="仿宋_GB2312"/>
          <w:b/>
          <w:color w:val="auto"/>
          <w:szCs w:val="32"/>
          <w:highlight w:val="none"/>
          <w:lang w:val="en-US" w:eastAsia="zh-CN"/>
        </w:rPr>
        <w:t>4</w:t>
      </w:r>
      <w:r>
        <w:rPr>
          <w:rFonts w:hint="eastAsia" w:ascii="仿宋_GB2312" w:hAnsi="仿宋_GB2312" w:cs="仿宋_GB2312"/>
          <w:b/>
          <w:color w:val="auto"/>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highlight w:val="none"/>
          <w:lang w:eastAsia="zh-CN"/>
        </w:rPr>
      </w:pPr>
      <w:r>
        <w:rPr>
          <w:rFonts w:hint="eastAsia" w:ascii="仿宋_GB2312" w:hAnsi="仿宋_GB2312" w:cs="仿宋_GB2312"/>
          <w:color w:val="auto"/>
          <w:szCs w:val="32"/>
          <w:highlight w:val="none"/>
        </w:rPr>
        <w:t>会计信息质量指标分值</w:t>
      </w:r>
      <w:r>
        <w:rPr>
          <w:rFonts w:hint="eastAsia" w:cs="仿宋_GB2312"/>
          <w:color w:val="auto"/>
          <w:szCs w:val="32"/>
          <w:highlight w:val="none"/>
          <w:lang w:val="en-US" w:eastAsia="zh-CN"/>
        </w:rPr>
        <w:t>4</w:t>
      </w:r>
      <w:r>
        <w:rPr>
          <w:rFonts w:hint="eastAsia" w:ascii="仿宋_GB2312" w:hAnsi="仿宋_GB2312" w:cs="仿宋_GB2312"/>
          <w:color w:val="auto"/>
          <w:szCs w:val="32"/>
          <w:highlight w:val="none"/>
        </w:rPr>
        <w:t>分，指标得分</w:t>
      </w:r>
      <w:r>
        <w:rPr>
          <w:rFonts w:hint="eastAsia" w:cs="仿宋_GB2312"/>
          <w:color w:val="auto"/>
          <w:szCs w:val="32"/>
          <w:highlight w:val="none"/>
          <w:lang w:val="en-US" w:eastAsia="zh-CN"/>
        </w:rPr>
        <w:t>4</w:t>
      </w:r>
      <w:r>
        <w:rPr>
          <w:rFonts w:hint="eastAsia" w:ascii="仿宋_GB2312" w:hAnsi="仿宋_GB2312" w:cs="仿宋_GB2312"/>
          <w:color w:val="auto"/>
          <w:szCs w:val="32"/>
          <w:highlight w:val="none"/>
        </w:rPr>
        <w:t>分。</w:t>
      </w:r>
      <w:r>
        <w:rPr>
          <w:rFonts w:hint="eastAsia" w:ascii="仿宋_GB2312" w:hAnsi="仿宋_GB2312" w:cs="仿宋_GB2312"/>
          <w:color w:val="auto"/>
          <w:highlight w:val="none"/>
        </w:rPr>
        <w:t>根据</w:t>
      </w:r>
      <w:r>
        <w:rPr>
          <w:rFonts w:hint="eastAsia" w:cs="仿宋_GB2312"/>
          <w:color w:val="auto"/>
          <w:kern w:val="2"/>
          <w:sz w:val="32"/>
          <w:szCs w:val="24"/>
          <w:highlight w:val="none"/>
          <w:lang w:val="en-US" w:eastAsia="zh-CN" w:bidi="ar-SA"/>
        </w:rPr>
        <w:t>省委编办2021年业务费项目</w:t>
      </w:r>
      <w:r>
        <w:rPr>
          <w:rFonts w:hint="eastAsia" w:cs="仿宋_GB2312"/>
          <w:color w:val="auto"/>
          <w:highlight w:val="none"/>
          <w:lang w:eastAsia="zh-CN"/>
        </w:rPr>
        <w:t>财务记账凭证及资金支出明细账等</w:t>
      </w:r>
      <w:r>
        <w:rPr>
          <w:rFonts w:hint="eastAsia" w:ascii="仿宋_GB2312" w:hAnsi="仿宋_GB2312" w:cs="仿宋_GB2312"/>
          <w:color w:val="auto"/>
          <w:highlight w:val="none"/>
        </w:rPr>
        <w:t>资料，</w:t>
      </w:r>
      <w:r>
        <w:rPr>
          <w:rFonts w:hint="eastAsia" w:cs="仿宋_GB2312"/>
          <w:color w:val="auto"/>
          <w:highlight w:val="none"/>
          <w:lang w:eastAsia="zh-CN"/>
        </w:rPr>
        <w:t>省委编办</w:t>
      </w:r>
      <w:r>
        <w:rPr>
          <w:rFonts w:hint="eastAsia" w:ascii="仿宋_GB2312" w:hAnsi="仿宋_GB2312" w:cs="仿宋_GB2312"/>
          <w:color w:val="auto"/>
          <w:highlight w:val="none"/>
        </w:rPr>
        <w:t>严格按照</w:t>
      </w:r>
      <w:r>
        <w:rPr>
          <w:rFonts w:hint="eastAsia" w:cs="仿宋_GB2312"/>
          <w:color w:val="auto"/>
          <w:highlight w:val="none"/>
          <w:lang w:eastAsia="zh-CN"/>
        </w:rPr>
        <w:t>《中华人民共和国会计法》和</w:t>
      </w:r>
      <w:r>
        <w:rPr>
          <w:rFonts w:hint="eastAsia" w:cs="仿宋_GB2312"/>
          <w:color w:val="auto"/>
          <w:kern w:val="2"/>
          <w:sz w:val="32"/>
          <w:szCs w:val="24"/>
          <w:highlight w:val="none"/>
          <w:lang w:val="en-US" w:eastAsia="zh-CN" w:bidi="ar-SA"/>
        </w:rPr>
        <w:t>办机关</w:t>
      </w:r>
      <w:r>
        <w:rPr>
          <w:rFonts w:hint="eastAsia" w:ascii="仿宋_GB2312" w:hAnsi="仿宋_GB2312" w:eastAsia="仿宋_GB2312" w:cs="仿宋_GB2312"/>
          <w:szCs w:val="32"/>
          <w:highlight w:val="none"/>
          <w:lang w:val="en-US" w:eastAsia="zh-CN"/>
        </w:rPr>
        <w:t>《财务管理</w:t>
      </w:r>
      <w:r>
        <w:rPr>
          <w:rFonts w:hint="eastAsia" w:cs="仿宋_GB2312"/>
          <w:szCs w:val="32"/>
          <w:highlight w:val="none"/>
          <w:lang w:val="en-US" w:eastAsia="zh-CN"/>
        </w:rPr>
        <w:t>制度</w:t>
      </w:r>
      <w:r>
        <w:rPr>
          <w:rFonts w:hint="eastAsia" w:ascii="仿宋_GB2312" w:hAnsi="仿宋_GB2312" w:eastAsia="仿宋_GB2312" w:cs="仿宋_GB2312"/>
          <w:szCs w:val="32"/>
          <w:highlight w:val="none"/>
          <w:lang w:val="en-US" w:eastAsia="zh-CN"/>
        </w:rPr>
        <w:t>》《专项资金管理办法》</w:t>
      </w:r>
      <w:r>
        <w:rPr>
          <w:rFonts w:hint="eastAsia" w:cs="仿宋_GB2312"/>
          <w:color w:val="auto"/>
          <w:highlight w:val="none"/>
          <w:lang w:eastAsia="zh-CN"/>
        </w:rPr>
        <w:t>对专项资金进行单独核算，</w:t>
      </w:r>
      <w:r>
        <w:rPr>
          <w:rFonts w:hint="eastAsia" w:ascii="仿宋_GB2312" w:hAnsi="仿宋_GB2312" w:cs="仿宋_GB2312"/>
          <w:color w:val="auto"/>
          <w:highlight w:val="none"/>
        </w:rPr>
        <w:t>核算</w:t>
      </w:r>
      <w:r>
        <w:rPr>
          <w:rFonts w:hint="eastAsia" w:cs="仿宋_GB2312"/>
          <w:color w:val="auto"/>
          <w:highlight w:val="none"/>
          <w:lang w:eastAsia="zh-CN"/>
        </w:rPr>
        <w:t>内容</w:t>
      </w:r>
      <w:r>
        <w:rPr>
          <w:rFonts w:hint="eastAsia" w:ascii="仿宋_GB2312" w:hAnsi="仿宋_GB2312" w:cs="仿宋_GB2312"/>
          <w:color w:val="auto"/>
          <w:highlight w:val="none"/>
        </w:rPr>
        <w:t>真实、准确、规范</w:t>
      </w:r>
      <w:r>
        <w:rPr>
          <w:rFonts w:hint="eastAsia" w:cs="仿宋_GB2312"/>
          <w:color w:val="auto"/>
          <w:highlight w:val="none"/>
          <w:lang w:eastAsia="zh-CN"/>
        </w:rPr>
        <w:t>，会计凭证完整、齐全。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auto"/>
          <w:highlight w:val="none"/>
        </w:rPr>
      </w:pPr>
      <w:r>
        <w:rPr>
          <w:rFonts w:hint="eastAsia" w:cs="仿宋_GB2312"/>
          <w:color w:val="auto"/>
          <w:kern w:val="2"/>
          <w:sz w:val="32"/>
          <w:szCs w:val="24"/>
          <w:highlight w:val="none"/>
          <w:lang w:val="en-US" w:eastAsia="zh-CN" w:bidi="ar-SA"/>
        </w:rPr>
        <w:t>根据指标体系评分标准，省委编办2021年业务费项目</w:t>
      </w:r>
      <w:r>
        <w:rPr>
          <w:rFonts w:hint="eastAsia" w:ascii="仿宋_GB2312" w:hAnsi="仿宋_GB2312" w:cs="仿宋_GB2312"/>
          <w:color w:val="auto"/>
          <w:szCs w:val="32"/>
          <w:highlight w:val="none"/>
        </w:rPr>
        <w:t>资金核算规范</w:t>
      </w:r>
      <w:r>
        <w:rPr>
          <w:rFonts w:hint="eastAsia" w:cs="仿宋_GB2312"/>
          <w:color w:val="auto"/>
          <w:szCs w:val="32"/>
          <w:highlight w:val="none"/>
          <w:lang w:eastAsia="zh-CN"/>
        </w:rPr>
        <w:t>，</w:t>
      </w:r>
      <w:r>
        <w:rPr>
          <w:rFonts w:hint="eastAsia" w:ascii="仿宋_GB2312" w:hAnsi="仿宋_GB2312" w:cs="仿宋_GB2312"/>
          <w:color w:val="auto"/>
          <w:szCs w:val="32"/>
          <w:highlight w:val="none"/>
        </w:rPr>
        <w:t>符合行业要求</w:t>
      </w:r>
      <w:r>
        <w:rPr>
          <w:rFonts w:hint="eastAsia" w:cs="仿宋_GB2312"/>
          <w:color w:val="auto"/>
          <w:szCs w:val="32"/>
          <w:highlight w:val="none"/>
          <w:lang w:eastAsia="zh-CN"/>
        </w:rPr>
        <w:t>；</w:t>
      </w:r>
      <w:r>
        <w:rPr>
          <w:rFonts w:hint="eastAsia" w:ascii="仿宋_GB2312" w:hAnsi="仿宋_GB2312" w:cs="仿宋_GB2312"/>
          <w:color w:val="auto"/>
          <w:szCs w:val="32"/>
          <w:highlight w:val="none"/>
        </w:rPr>
        <w:t>财务会计信息真实、完整、凭证齐全</w:t>
      </w:r>
      <w:r>
        <w:rPr>
          <w:rFonts w:hint="eastAsia" w:cs="仿宋_GB2312"/>
          <w:color w:val="auto"/>
          <w:szCs w:val="32"/>
          <w:highlight w:val="none"/>
          <w:lang w:eastAsia="zh-CN"/>
        </w:rPr>
        <w:t>。</w:t>
      </w:r>
      <w:r>
        <w:rPr>
          <w:rFonts w:hint="eastAsia" w:ascii="仿宋_GB2312" w:hAnsi="仿宋_GB2312" w:cs="仿宋_GB2312"/>
          <w:color w:val="auto"/>
          <w:szCs w:val="32"/>
          <w:highlight w:val="none"/>
        </w:rPr>
        <w:t>指标得</w:t>
      </w:r>
      <w:r>
        <w:rPr>
          <w:rFonts w:hint="eastAsia" w:cs="仿宋_GB2312"/>
          <w:color w:val="auto"/>
          <w:szCs w:val="32"/>
          <w:highlight w:val="none"/>
          <w:lang w:eastAsia="zh-CN"/>
        </w:rPr>
        <w:t>分</w:t>
      </w:r>
      <w:r>
        <w:rPr>
          <w:rFonts w:hint="eastAsia" w:cs="仿宋_GB2312"/>
          <w:color w:val="auto"/>
          <w:szCs w:val="32"/>
          <w:highlight w:val="none"/>
          <w:lang w:val="en-US" w:eastAsia="zh-CN"/>
        </w:rPr>
        <w:t>4</w:t>
      </w:r>
      <w:r>
        <w:rPr>
          <w:rFonts w:hint="eastAsia" w:ascii="仿宋_GB2312" w:hAnsi="仿宋_GB2312" w:cs="仿宋_GB2312"/>
          <w:color w:val="auto"/>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b/>
          <w:bCs/>
          <w:color w:val="auto"/>
          <w:highlight w:val="none"/>
          <w:lang w:val="en-US" w:eastAsia="zh-CN"/>
        </w:rPr>
      </w:pPr>
      <w:r>
        <w:rPr>
          <w:rFonts w:hint="eastAsia"/>
          <w:b/>
          <w:bCs/>
          <w:color w:val="auto"/>
          <w:highlight w:val="none"/>
          <w:lang w:val="en-US" w:eastAsia="zh-CN"/>
        </w:rPr>
        <w:t>2.组织实施（10分）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24"/>
          <w:highlight w:val="none"/>
          <w:lang w:val="en-US" w:eastAsia="zh-CN" w:bidi="ar-SA"/>
        </w:rPr>
      </w:pPr>
      <w:r>
        <w:rPr>
          <w:rFonts w:hint="eastAsia" w:cs="仿宋_GB2312"/>
          <w:color w:val="auto"/>
          <w:kern w:val="2"/>
          <w:sz w:val="32"/>
          <w:szCs w:val="24"/>
          <w:highlight w:val="none"/>
          <w:lang w:val="en-US" w:eastAsia="zh-CN" w:bidi="ar-SA"/>
        </w:rPr>
        <w:t>组织实施指标分</w:t>
      </w:r>
      <w:r>
        <w:rPr>
          <w:rFonts w:hint="eastAsia" w:ascii="仿宋_GB2312" w:hAnsi="仿宋_GB2312" w:eastAsia="仿宋_GB2312" w:cs="仿宋_GB2312"/>
          <w:color w:val="auto"/>
          <w:kern w:val="2"/>
          <w:sz w:val="32"/>
          <w:szCs w:val="24"/>
          <w:highlight w:val="none"/>
          <w:lang w:val="en-US" w:eastAsia="zh-CN" w:bidi="ar-SA"/>
        </w:rPr>
        <w:t>值</w:t>
      </w:r>
      <w:r>
        <w:rPr>
          <w:rFonts w:hint="eastAsia" w:cs="仿宋_GB2312"/>
          <w:color w:val="auto"/>
          <w:kern w:val="2"/>
          <w:sz w:val="32"/>
          <w:szCs w:val="24"/>
          <w:highlight w:val="none"/>
          <w:lang w:val="en-US" w:eastAsia="zh-CN" w:bidi="ar-SA"/>
        </w:rPr>
        <w:t>10</w:t>
      </w:r>
      <w:r>
        <w:rPr>
          <w:rFonts w:hint="eastAsia" w:ascii="仿宋_GB2312" w:hAnsi="仿宋_GB2312" w:eastAsia="仿宋_GB2312" w:cs="仿宋_GB2312"/>
          <w:color w:val="auto"/>
          <w:kern w:val="2"/>
          <w:sz w:val="32"/>
          <w:szCs w:val="24"/>
          <w:highlight w:val="none"/>
          <w:lang w:val="en-US" w:eastAsia="zh-CN" w:bidi="ar-SA"/>
        </w:rPr>
        <w:t>分，得分为</w:t>
      </w:r>
      <w:r>
        <w:rPr>
          <w:rFonts w:hint="eastAsia" w:cs="仿宋_GB2312"/>
          <w:color w:val="auto"/>
          <w:kern w:val="2"/>
          <w:sz w:val="32"/>
          <w:szCs w:val="24"/>
          <w:highlight w:val="none"/>
          <w:lang w:val="en-US" w:eastAsia="zh-CN" w:bidi="ar-SA"/>
        </w:rPr>
        <w:t>10</w:t>
      </w:r>
      <w:r>
        <w:rPr>
          <w:rFonts w:hint="eastAsia" w:ascii="仿宋_GB2312" w:hAnsi="仿宋_GB2312" w:eastAsia="仿宋_GB2312" w:cs="仿宋_GB2312"/>
          <w:color w:val="auto"/>
          <w:kern w:val="2"/>
          <w:sz w:val="32"/>
          <w:szCs w:val="24"/>
          <w:highlight w:val="none"/>
          <w:lang w:val="en-US" w:eastAsia="zh-CN" w:bidi="ar-SA"/>
        </w:rPr>
        <w:t>分。经</w:t>
      </w:r>
      <w:r>
        <w:rPr>
          <w:rFonts w:hint="eastAsia" w:cs="仿宋_GB2312"/>
          <w:color w:val="auto"/>
          <w:kern w:val="2"/>
          <w:sz w:val="32"/>
          <w:szCs w:val="24"/>
          <w:highlight w:val="none"/>
          <w:lang w:val="en-US" w:eastAsia="zh-CN" w:bidi="ar-SA"/>
        </w:rPr>
        <w:t>现场勘查</w:t>
      </w:r>
      <w:r>
        <w:rPr>
          <w:rFonts w:hint="eastAsia" w:ascii="仿宋_GB2312" w:hAnsi="仿宋_GB2312" w:eastAsia="仿宋_GB2312" w:cs="仿宋_GB2312"/>
          <w:color w:val="auto"/>
          <w:kern w:val="2"/>
          <w:sz w:val="32"/>
          <w:szCs w:val="24"/>
          <w:highlight w:val="none"/>
          <w:lang w:val="en-US" w:eastAsia="zh-CN" w:bidi="ar-SA"/>
        </w:rPr>
        <w:t>，</w:t>
      </w:r>
      <w:r>
        <w:rPr>
          <w:rFonts w:hint="eastAsia" w:cs="仿宋_GB2312"/>
          <w:color w:val="auto"/>
          <w:kern w:val="2"/>
          <w:sz w:val="32"/>
          <w:szCs w:val="24"/>
          <w:highlight w:val="none"/>
          <w:lang w:val="en-US" w:eastAsia="zh-CN" w:bidi="ar-SA"/>
        </w:rPr>
        <w:t>省委</w:t>
      </w:r>
      <w:r>
        <w:rPr>
          <w:rFonts w:hint="eastAsia" w:ascii="仿宋_GB2312" w:hAnsi="仿宋_GB2312" w:eastAsia="仿宋_GB2312" w:cs="仿宋_GB2312"/>
          <w:color w:val="auto"/>
          <w:kern w:val="2"/>
          <w:sz w:val="32"/>
          <w:szCs w:val="24"/>
          <w:highlight w:val="none"/>
          <w:lang w:val="en-US" w:eastAsia="zh-CN" w:bidi="ar-SA"/>
        </w:rPr>
        <w:t>编办2021年业务费项目管理制度和财务管理制度健全且管理规范，政府采购合规，基本保障了项目的顺利实施。</w:t>
      </w:r>
      <w:r>
        <w:rPr>
          <w:rFonts w:hint="eastAsia" w:cs="仿宋_GB2312"/>
          <w:color w:val="auto"/>
          <w:kern w:val="2"/>
          <w:sz w:val="32"/>
          <w:szCs w:val="24"/>
          <w:highlight w:val="none"/>
          <w:lang w:val="en-US" w:eastAsia="zh-CN" w:bidi="ar-SA"/>
        </w:rPr>
        <w:t>严格</w:t>
      </w:r>
      <w:r>
        <w:rPr>
          <w:rFonts w:hint="eastAsia" w:ascii="仿宋_GB2312" w:hAnsi="仿宋_GB2312" w:eastAsia="仿宋_GB2312" w:cs="仿宋_GB2312"/>
          <w:color w:val="auto"/>
          <w:kern w:val="2"/>
          <w:sz w:val="32"/>
          <w:szCs w:val="24"/>
          <w:highlight w:val="none"/>
          <w:lang w:val="en-US" w:eastAsia="zh-CN" w:bidi="ar-SA"/>
        </w:rPr>
        <w:t>执行《档案管理制度》</w:t>
      </w:r>
      <w:r>
        <w:rPr>
          <w:rFonts w:hint="eastAsia"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档案</w:t>
      </w:r>
      <w:r>
        <w:rPr>
          <w:rStyle w:val="18"/>
          <w:rFonts w:hint="eastAsia" w:ascii="仿宋_GB2312" w:hAnsi="仿宋_GB2312" w:eastAsia="仿宋_GB2312" w:cs="仿宋_GB2312"/>
          <w:sz w:val="32"/>
          <w:szCs w:val="32"/>
          <w:highlight w:val="none"/>
          <w:lang w:val="en-US" w:eastAsia="zh-CN"/>
        </w:rPr>
        <w:t>建立、收集、整理及利用</w:t>
      </w:r>
      <w:r>
        <w:rPr>
          <w:rFonts w:hint="eastAsia" w:ascii="仿宋_GB2312" w:hAnsi="仿宋_GB2312" w:eastAsia="仿宋_GB2312" w:cs="仿宋_GB2312"/>
          <w:color w:val="auto"/>
          <w:kern w:val="2"/>
          <w:sz w:val="32"/>
          <w:szCs w:val="24"/>
          <w:highlight w:val="none"/>
          <w:lang w:val="en-US" w:eastAsia="zh-CN" w:bidi="ar-SA"/>
        </w:rPr>
        <w:t>工作规范</w:t>
      </w:r>
      <w:r>
        <w:rPr>
          <w:rStyle w:val="18"/>
          <w:rFonts w:hint="eastAsia"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color w:val="auto"/>
          <w:szCs w:val="32"/>
          <w:highlight w:val="none"/>
        </w:rPr>
      </w:pPr>
      <w:r>
        <w:rPr>
          <w:rFonts w:hint="eastAsia" w:cs="仿宋_GB2312"/>
          <w:b/>
          <w:color w:val="auto"/>
          <w:szCs w:val="32"/>
          <w:highlight w:val="none"/>
          <w:lang w:eastAsia="zh-CN"/>
        </w:rPr>
        <w:t>（</w:t>
      </w:r>
      <w:r>
        <w:rPr>
          <w:rFonts w:hint="eastAsia" w:cs="仿宋_GB2312"/>
          <w:b/>
          <w:color w:val="auto"/>
          <w:szCs w:val="32"/>
          <w:highlight w:val="none"/>
          <w:lang w:val="en-US" w:eastAsia="zh-CN"/>
        </w:rPr>
        <w:t>1</w:t>
      </w:r>
      <w:r>
        <w:rPr>
          <w:rFonts w:hint="eastAsia" w:cs="仿宋_GB2312"/>
          <w:b/>
          <w:color w:val="auto"/>
          <w:szCs w:val="32"/>
          <w:highlight w:val="none"/>
          <w:lang w:eastAsia="zh-CN"/>
        </w:rPr>
        <w:t>）</w:t>
      </w:r>
      <w:r>
        <w:rPr>
          <w:rFonts w:hint="default" w:ascii="仿宋_GB2312" w:hAnsi="仿宋_GB2312" w:eastAsia="仿宋_GB2312" w:cs="仿宋_GB2312"/>
          <w:b/>
          <w:color w:val="auto"/>
          <w:szCs w:val="32"/>
          <w:highlight w:val="none"/>
          <w:lang w:val="en-US" w:eastAsia="zh-CN"/>
        </w:rPr>
        <w:t>管理制度健全性</w:t>
      </w:r>
      <w:r>
        <w:rPr>
          <w:rFonts w:hint="eastAsia" w:ascii="仿宋_GB2312" w:hAnsi="仿宋_GB2312" w:eastAsia="仿宋_GB2312" w:cs="仿宋_GB2312"/>
          <w:b/>
          <w:color w:val="auto"/>
          <w:szCs w:val="32"/>
          <w:highlight w:val="none"/>
        </w:rPr>
        <w:t>（</w:t>
      </w:r>
      <w:r>
        <w:rPr>
          <w:rFonts w:hint="eastAsia" w:cs="仿宋_GB2312"/>
          <w:b/>
          <w:color w:val="auto"/>
          <w:szCs w:val="32"/>
          <w:highlight w:val="none"/>
          <w:lang w:val="en-US" w:eastAsia="zh-CN"/>
        </w:rPr>
        <w:t>2</w:t>
      </w:r>
      <w:r>
        <w:rPr>
          <w:rFonts w:hint="eastAsia" w:ascii="仿宋_GB2312" w:hAnsi="仿宋_GB2312" w:eastAsia="仿宋_GB2312" w:cs="仿宋_GB2312"/>
          <w:b/>
          <w:color w:val="auto"/>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24"/>
          <w:highlight w:val="none"/>
          <w:lang w:val="en-US" w:eastAsia="zh-CN" w:bidi="ar-SA"/>
        </w:rPr>
      </w:pPr>
      <w:r>
        <w:rPr>
          <w:rFonts w:hint="default" w:cs="仿宋_GB2312"/>
          <w:color w:val="auto"/>
          <w:kern w:val="2"/>
          <w:sz w:val="32"/>
          <w:szCs w:val="24"/>
          <w:highlight w:val="none"/>
          <w:lang w:val="en-US" w:eastAsia="zh-CN" w:bidi="ar-SA"/>
        </w:rPr>
        <w:t>管理制度健全性</w:t>
      </w:r>
      <w:r>
        <w:rPr>
          <w:rFonts w:hint="eastAsia" w:cs="仿宋_GB2312"/>
          <w:color w:val="auto"/>
          <w:kern w:val="2"/>
          <w:sz w:val="32"/>
          <w:szCs w:val="24"/>
          <w:highlight w:val="none"/>
          <w:lang w:val="en-US" w:eastAsia="zh-CN" w:bidi="ar-SA"/>
        </w:rPr>
        <w:t>指标</w:t>
      </w:r>
      <w:r>
        <w:rPr>
          <w:rFonts w:hint="eastAsia" w:ascii="仿宋_GB2312" w:hAnsi="仿宋_GB2312" w:eastAsia="仿宋_GB2312" w:cs="仿宋_GB2312"/>
          <w:color w:val="auto"/>
          <w:kern w:val="2"/>
          <w:sz w:val="32"/>
          <w:szCs w:val="24"/>
          <w:highlight w:val="none"/>
          <w:lang w:val="en-US" w:eastAsia="zh-CN" w:bidi="ar-SA"/>
        </w:rPr>
        <w:t>分值</w:t>
      </w:r>
      <w:r>
        <w:rPr>
          <w:rFonts w:hint="eastAsia" w:cs="仿宋_GB2312"/>
          <w:color w:val="auto"/>
          <w:kern w:val="2"/>
          <w:sz w:val="32"/>
          <w:szCs w:val="24"/>
          <w:highlight w:val="none"/>
          <w:lang w:val="en-US" w:eastAsia="zh-CN" w:bidi="ar-SA"/>
        </w:rPr>
        <w:t>2</w:t>
      </w:r>
      <w:r>
        <w:rPr>
          <w:rFonts w:hint="eastAsia" w:ascii="仿宋_GB2312" w:hAnsi="仿宋_GB2312" w:eastAsia="仿宋_GB2312" w:cs="仿宋_GB2312"/>
          <w:color w:val="auto"/>
          <w:kern w:val="2"/>
          <w:sz w:val="32"/>
          <w:szCs w:val="24"/>
          <w:highlight w:val="none"/>
          <w:lang w:val="en-US" w:eastAsia="zh-CN" w:bidi="ar-SA"/>
        </w:rPr>
        <w:t>分，得分为</w:t>
      </w:r>
      <w:r>
        <w:rPr>
          <w:rFonts w:hint="eastAsia" w:cs="仿宋_GB2312"/>
          <w:color w:val="auto"/>
          <w:kern w:val="2"/>
          <w:sz w:val="32"/>
          <w:szCs w:val="24"/>
          <w:highlight w:val="none"/>
          <w:lang w:val="en-US" w:eastAsia="zh-CN" w:bidi="ar-SA"/>
        </w:rPr>
        <w:t>2</w:t>
      </w:r>
      <w:r>
        <w:rPr>
          <w:rFonts w:hint="eastAsia" w:ascii="仿宋_GB2312" w:hAnsi="仿宋_GB2312" w:eastAsia="仿宋_GB2312" w:cs="仿宋_GB2312"/>
          <w:color w:val="auto"/>
          <w:kern w:val="2"/>
          <w:sz w:val="32"/>
          <w:szCs w:val="24"/>
          <w:highlight w:val="none"/>
          <w:lang w:val="en-US" w:eastAsia="zh-CN" w:bidi="ar-SA"/>
        </w:rPr>
        <w:t>分。</w:t>
      </w:r>
      <w:r>
        <w:rPr>
          <w:rFonts w:hint="eastAsia" w:cs="仿宋_GB2312"/>
          <w:color w:val="auto"/>
          <w:kern w:val="2"/>
          <w:sz w:val="32"/>
          <w:szCs w:val="24"/>
          <w:highlight w:val="none"/>
          <w:lang w:val="en-US" w:eastAsia="zh-CN" w:bidi="ar-SA"/>
        </w:rPr>
        <w:t>经查阅相关资料，省委编办制定了《专项资金管理办法》</w:t>
      </w:r>
      <w:r>
        <w:rPr>
          <w:rFonts w:hint="eastAsia" w:cs="仿宋_GB2312"/>
          <w:color w:val="auto"/>
          <w:highlight w:val="none"/>
          <w:lang w:eastAsia="zh-CN"/>
        </w:rPr>
        <w:t>《信息化项目建设管理办法》</w:t>
      </w:r>
      <w:r>
        <w:rPr>
          <w:rFonts w:hint="eastAsia" w:cs="仿宋_GB2312"/>
          <w:color w:val="auto"/>
          <w:kern w:val="2"/>
          <w:sz w:val="32"/>
          <w:szCs w:val="24"/>
          <w:highlight w:val="none"/>
          <w:lang w:val="en-US" w:eastAsia="zh-CN" w:bidi="ar-SA"/>
        </w:rPr>
        <w:t>，明确了项目立项、招标、实施、监督、验收等规范流程；制定了《</w:t>
      </w:r>
      <w:r>
        <w:rPr>
          <w:rFonts w:hint="eastAsia" w:cs="仿宋_GB2312"/>
          <w:color w:val="auto"/>
          <w:highlight w:val="none"/>
          <w:lang w:eastAsia="zh-CN"/>
        </w:rPr>
        <w:t>财务管理制度》</w:t>
      </w:r>
      <w:r>
        <w:rPr>
          <w:rFonts w:hint="eastAsia" w:cs="仿宋_GB2312"/>
          <w:color w:val="auto"/>
          <w:kern w:val="2"/>
          <w:sz w:val="32"/>
          <w:szCs w:val="24"/>
          <w:highlight w:val="none"/>
          <w:lang w:val="en-US" w:eastAsia="zh-CN" w:bidi="ar-SA"/>
        </w:rPr>
        <w:t>，内容包括了财务管理、拨付审批流程、账务处理、资产管理、采购管理等，管理制度符合财务会计制度规定，具备可操作性。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s="仿宋_GB2312"/>
          <w:color w:val="auto"/>
          <w:highlight w:val="none"/>
          <w:lang w:val="en-US" w:eastAsia="zh-CN"/>
        </w:rPr>
      </w:pPr>
      <w:r>
        <w:rPr>
          <w:rFonts w:hint="eastAsia" w:cs="仿宋_GB2312"/>
          <w:color w:val="auto"/>
          <w:highlight w:val="none"/>
          <w:lang w:val="en-US" w:eastAsia="zh-CN"/>
        </w:rPr>
        <w:t>根据指标体系评分标准，项目实施制定或具有相应的项目管理制度和</w:t>
      </w:r>
      <w:r>
        <w:rPr>
          <w:rFonts w:hint="eastAsia" w:ascii="仿宋_GB2312" w:hAnsi="仿宋_GB2312" w:eastAsia="仿宋_GB2312" w:cs="仿宋_GB2312"/>
          <w:color w:val="auto"/>
          <w:kern w:val="2"/>
          <w:sz w:val="32"/>
          <w:szCs w:val="24"/>
          <w:highlight w:val="none"/>
          <w:lang w:val="en-US" w:eastAsia="zh-CN" w:bidi="ar-SA"/>
        </w:rPr>
        <w:t>财务管理制度</w:t>
      </w:r>
      <w:r>
        <w:rPr>
          <w:rFonts w:hint="eastAsia" w:cs="仿宋_GB2312"/>
          <w:color w:val="auto"/>
          <w:kern w:val="2"/>
          <w:sz w:val="32"/>
          <w:szCs w:val="24"/>
          <w:highlight w:val="none"/>
          <w:lang w:val="en-US" w:eastAsia="zh-CN" w:bidi="ar-SA"/>
        </w:rPr>
        <w:t>，</w:t>
      </w:r>
      <w:r>
        <w:rPr>
          <w:rFonts w:hint="eastAsia" w:cs="仿宋_GB2312"/>
          <w:color w:val="auto"/>
          <w:highlight w:val="none"/>
          <w:lang w:val="en-US" w:eastAsia="zh-CN"/>
        </w:rPr>
        <w:t>管理制度合法、合规、完整。指标得分2分。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color w:val="auto"/>
          <w:szCs w:val="32"/>
          <w:highlight w:val="none"/>
          <w:lang w:val="en-US" w:eastAsia="zh-CN"/>
        </w:rPr>
      </w:pPr>
      <w:r>
        <w:rPr>
          <w:rFonts w:hint="eastAsia" w:cs="仿宋_GB2312"/>
          <w:b/>
          <w:color w:val="auto"/>
          <w:szCs w:val="32"/>
          <w:highlight w:val="none"/>
          <w:lang w:val="en-US" w:eastAsia="zh-CN"/>
        </w:rPr>
        <w:t>（2）</w:t>
      </w:r>
      <w:r>
        <w:rPr>
          <w:rFonts w:hint="default" w:ascii="仿宋_GB2312" w:hAnsi="仿宋_GB2312" w:eastAsia="仿宋_GB2312" w:cs="仿宋_GB2312"/>
          <w:b/>
          <w:color w:val="auto"/>
          <w:szCs w:val="32"/>
          <w:highlight w:val="none"/>
          <w:lang w:val="en-US" w:eastAsia="zh-CN"/>
        </w:rPr>
        <w:t>制度执行有效性</w:t>
      </w:r>
      <w:r>
        <w:rPr>
          <w:rFonts w:hint="eastAsia" w:ascii="仿宋_GB2312" w:hAnsi="仿宋_GB2312" w:eastAsia="仿宋_GB2312" w:cs="仿宋_GB2312"/>
          <w:b/>
          <w:color w:val="auto"/>
          <w:szCs w:val="32"/>
          <w:highlight w:val="none"/>
        </w:rPr>
        <w:t>（</w:t>
      </w:r>
      <w:r>
        <w:rPr>
          <w:rFonts w:hint="eastAsia" w:cs="仿宋_GB2312"/>
          <w:b/>
          <w:color w:val="auto"/>
          <w:szCs w:val="32"/>
          <w:highlight w:val="none"/>
          <w:lang w:val="en-US" w:eastAsia="zh-CN"/>
        </w:rPr>
        <w:t>2</w:t>
      </w:r>
      <w:r>
        <w:rPr>
          <w:rFonts w:hint="eastAsia" w:ascii="仿宋_GB2312" w:hAnsi="仿宋_GB2312" w:eastAsia="仿宋_GB2312" w:cs="仿宋_GB2312"/>
          <w:b/>
          <w:color w:val="auto"/>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highlight w:val="none"/>
          <w:lang w:val="en-US" w:eastAsia="zh-CN"/>
        </w:rPr>
      </w:pPr>
      <w:r>
        <w:rPr>
          <w:rFonts w:hint="default" w:cs="仿宋_GB2312"/>
          <w:color w:val="auto"/>
          <w:highlight w:val="none"/>
          <w:lang w:val="en-US" w:eastAsia="zh-CN"/>
        </w:rPr>
        <w:t>制度执行有效性</w:t>
      </w:r>
      <w:r>
        <w:rPr>
          <w:rFonts w:hint="eastAsia" w:cs="仿宋_GB2312"/>
          <w:color w:val="auto"/>
          <w:highlight w:val="none"/>
          <w:lang w:val="en-US" w:eastAsia="zh-CN"/>
        </w:rPr>
        <w:t>指标分值2分，得分为2分。经</w:t>
      </w:r>
      <w:r>
        <w:rPr>
          <w:rFonts w:hint="eastAsia" w:cs="仿宋_GB2312"/>
          <w:color w:val="auto"/>
          <w:kern w:val="2"/>
          <w:sz w:val="32"/>
          <w:szCs w:val="24"/>
          <w:highlight w:val="none"/>
          <w:lang w:val="en-US" w:eastAsia="zh-CN" w:bidi="ar-SA"/>
        </w:rPr>
        <w:t>查阅相关资料</w:t>
      </w:r>
      <w:r>
        <w:rPr>
          <w:rFonts w:hint="eastAsia" w:cs="仿宋_GB2312"/>
          <w:color w:val="auto"/>
          <w:highlight w:val="none"/>
          <w:lang w:val="en-US" w:eastAsia="zh-CN"/>
        </w:rPr>
        <w:t>，省委编办遵守相关法律法规和管理规定，严格执行</w:t>
      </w:r>
      <w:r>
        <w:rPr>
          <w:rFonts w:hint="eastAsia" w:cs="仿宋_GB2312"/>
          <w:color w:val="auto"/>
          <w:kern w:val="2"/>
          <w:sz w:val="32"/>
          <w:szCs w:val="24"/>
          <w:highlight w:val="none"/>
          <w:lang w:val="en-US" w:eastAsia="zh-CN" w:bidi="ar-SA"/>
        </w:rPr>
        <w:t>《省委编办专项资金管理办法》和</w:t>
      </w:r>
      <w:r>
        <w:rPr>
          <w:rFonts w:hint="eastAsia" w:cs="仿宋_GB2312"/>
          <w:color w:val="auto"/>
          <w:highlight w:val="none"/>
          <w:lang w:eastAsia="zh-CN"/>
        </w:rPr>
        <w:t>《省委编办信息化项目建设管理办法》</w:t>
      </w:r>
      <w:r>
        <w:rPr>
          <w:rFonts w:hint="eastAsia" w:cs="仿宋_GB2312"/>
          <w:color w:val="auto"/>
          <w:kern w:val="2"/>
          <w:sz w:val="32"/>
          <w:szCs w:val="24"/>
          <w:highlight w:val="none"/>
          <w:lang w:val="en-US" w:eastAsia="zh-CN" w:bidi="ar-SA"/>
        </w:rPr>
        <w:t>，项目管理、财务管理、资产管理、采购管理</w:t>
      </w:r>
      <w:r>
        <w:rPr>
          <w:rFonts w:hint="eastAsia" w:cs="仿宋_GB2312"/>
          <w:color w:val="auto"/>
          <w:highlight w:val="none"/>
          <w:lang w:val="en-US" w:eastAsia="zh-CN"/>
        </w:rPr>
        <w:t>均按相关法律法规和管理制度执行，机房运行维护、网络群系统运行维护、办公区域（终端）设备运行维护服务机构均</w:t>
      </w:r>
      <w:r>
        <w:rPr>
          <w:rFonts w:hint="eastAsia" w:ascii="仿宋_GB2312" w:hAnsi="仿宋_GB2312" w:eastAsia="仿宋_GB2312" w:cs="仿宋_GB2312"/>
          <w:b w:val="0"/>
          <w:bCs w:val="0"/>
          <w:color w:val="auto"/>
          <w:sz w:val="32"/>
          <w:szCs w:val="32"/>
          <w:highlight w:val="none"/>
          <w:lang w:val="en-US" w:eastAsia="zh-CN"/>
        </w:rPr>
        <w:t>通过公开招标和自行询价采购的方式确定</w:t>
      </w:r>
      <w:r>
        <w:rPr>
          <w:rFonts w:hint="eastAsia" w:cs="仿宋_GB2312"/>
          <w:b w:val="0"/>
          <w:bCs w:val="0"/>
          <w:color w:val="auto"/>
          <w:sz w:val="32"/>
          <w:szCs w:val="32"/>
          <w:highlight w:val="none"/>
          <w:lang w:val="en-US" w:eastAsia="zh-CN"/>
        </w:rPr>
        <w:t>，</w:t>
      </w:r>
      <w:r>
        <w:rPr>
          <w:rFonts w:hint="eastAsia" w:cs="仿宋_GB2312"/>
          <w:color w:val="auto"/>
          <w:highlight w:val="none"/>
          <w:lang w:val="en-US" w:eastAsia="zh-CN"/>
        </w:rPr>
        <w:t>且在维修工作完成后采取了质量检查、验收等必需的控制措施。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s="仿宋_GB2312"/>
          <w:color w:val="auto"/>
          <w:highlight w:val="none"/>
          <w:lang w:val="en-US" w:eastAsia="zh-CN"/>
        </w:rPr>
      </w:pPr>
      <w:r>
        <w:rPr>
          <w:rFonts w:hint="eastAsia" w:cs="仿宋_GB2312"/>
          <w:color w:val="auto"/>
          <w:highlight w:val="none"/>
          <w:lang w:val="en-US" w:eastAsia="zh-CN"/>
        </w:rPr>
        <w:t>根据指标体系评分标准，项目实施遵守相关法律法规和业务管理规定，各项制度执行到位。指标得分2分。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仿宋_GB2312" w:hAnsi="仿宋_GB2312" w:eastAsia="仿宋_GB2312" w:cs="仿宋_GB2312"/>
          <w:b/>
          <w:color w:val="auto"/>
          <w:szCs w:val="32"/>
          <w:highlight w:val="none"/>
          <w:lang w:val="en-US" w:eastAsia="zh-CN"/>
        </w:rPr>
      </w:pPr>
      <w:r>
        <w:rPr>
          <w:rFonts w:hint="eastAsia" w:cs="仿宋_GB2312"/>
          <w:b/>
          <w:color w:val="auto"/>
          <w:szCs w:val="32"/>
          <w:highlight w:val="none"/>
          <w:lang w:val="en-US" w:eastAsia="zh-CN"/>
        </w:rPr>
        <w:t>（3）采购管理合规</w:t>
      </w:r>
      <w:r>
        <w:rPr>
          <w:rFonts w:hint="default" w:ascii="仿宋_GB2312" w:hAnsi="仿宋_GB2312" w:eastAsia="仿宋_GB2312" w:cs="仿宋_GB2312"/>
          <w:b/>
          <w:color w:val="auto"/>
          <w:szCs w:val="32"/>
          <w:highlight w:val="none"/>
          <w:lang w:val="en-US" w:eastAsia="zh-CN"/>
        </w:rPr>
        <w:t>性</w:t>
      </w:r>
      <w:r>
        <w:rPr>
          <w:rFonts w:hint="eastAsia" w:ascii="仿宋_GB2312" w:hAnsi="仿宋_GB2312" w:eastAsia="仿宋_GB2312" w:cs="仿宋_GB2312"/>
          <w:b/>
          <w:color w:val="auto"/>
          <w:szCs w:val="32"/>
          <w:highlight w:val="none"/>
        </w:rPr>
        <w:t>（</w:t>
      </w:r>
      <w:r>
        <w:rPr>
          <w:rFonts w:hint="eastAsia" w:cs="仿宋_GB2312"/>
          <w:b/>
          <w:color w:val="auto"/>
          <w:szCs w:val="32"/>
          <w:highlight w:val="none"/>
          <w:lang w:val="en-US" w:eastAsia="zh-CN"/>
        </w:rPr>
        <w:t>3</w:t>
      </w:r>
      <w:r>
        <w:rPr>
          <w:rFonts w:hint="eastAsia" w:ascii="仿宋_GB2312" w:hAnsi="仿宋_GB2312" w:eastAsia="仿宋_GB2312" w:cs="仿宋_GB2312"/>
          <w:b/>
          <w:color w:val="auto"/>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highlight w:val="none"/>
          <w:lang w:val="en-US" w:eastAsia="zh-CN"/>
        </w:rPr>
      </w:pPr>
      <w:r>
        <w:rPr>
          <w:rFonts w:hint="default" w:cs="仿宋_GB2312"/>
          <w:color w:val="auto"/>
          <w:highlight w:val="none"/>
          <w:lang w:val="en-US" w:eastAsia="zh-CN"/>
        </w:rPr>
        <w:t>采购管理合规性</w:t>
      </w:r>
      <w:r>
        <w:rPr>
          <w:rFonts w:hint="eastAsia" w:cs="仿宋_GB2312"/>
          <w:color w:val="auto"/>
          <w:highlight w:val="none"/>
          <w:lang w:val="en-US" w:eastAsia="zh-CN"/>
        </w:rPr>
        <w:t>指标分值3分，得分为3分。经查阅相关项目资料，省编办对机构编制实名制管理系统升级改造进行了公开招标采购，政府采购申请合规、政府采购计划备案规范、采购信息发布规范及时，整个采购流程规范。信息化系统运行维护</w:t>
      </w:r>
      <w:r>
        <w:rPr>
          <w:rFonts w:hint="eastAsia" w:ascii="仿宋_GB2312" w:hAnsi="仿宋_GB2312" w:eastAsia="仿宋_GB2312" w:cs="仿宋_GB2312"/>
          <w:b w:val="0"/>
          <w:bCs w:val="0"/>
          <w:color w:val="auto"/>
          <w:sz w:val="32"/>
          <w:szCs w:val="32"/>
          <w:highlight w:val="none"/>
          <w:lang w:val="en-US" w:eastAsia="zh-CN"/>
        </w:rPr>
        <w:t>通过自行询价采购的方式</w:t>
      </w:r>
      <w:r>
        <w:rPr>
          <w:rFonts w:hint="eastAsia" w:cs="仿宋_GB2312"/>
          <w:b w:val="0"/>
          <w:bCs w:val="0"/>
          <w:color w:val="auto"/>
          <w:sz w:val="32"/>
          <w:szCs w:val="32"/>
          <w:highlight w:val="none"/>
          <w:lang w:val="en-US" w:eastAsia="zh-CN"/>
        </w:rPr>
        <w:t>进行采购，在</w:t>
      </w:r>
      <w:r>
        <w:rPr>
          <w:rFonts w:hint="eastAsia" w:cs="仿宋_GB2312"/>
          <w:color w:val="auto"/>
          <w:highlight w:val="none"/>
          <w:lang w:val="en-US" w:eastAsia="zh-CN"/>
        </w:rPr>
        <w:t>甘肃机构编制网上发布了询价采购公告，采购信息发布规范及时，经评标小组确定评标结果后又在网上进行了公示，自行询价采购流程规范合理，采购过程公开、公正。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cs="仿宋_GB2312"/>
          <w:color w:val="auto"/>
          <w:highlight w:val="none"/>
          <w:lang w:val="en-US" w:eastAsia="zh-CN"/>
        </w:rPr>
        <w:t>根据指标体系评分标准，</w:t>
      </w:r>
      <w:r>
        <w:rPr>
          <w:rFonts w:hint="eastAsia" w:cs="仿宋_GB2312"/>
          <w:color w:val="auto"/>
          <w:kern w:val="2"/>
          <w:sz w:val="32"/>
          <w:szCs w:val="24"/>
          <w:highlight w:val="none"/>
          <w:lang w:val="en-US" w:eastAsia="zh-CN" w:bidi="ar-SA"/>
        </w:rPr>
        <w:t>省委编办2021年业务费项目采购申请规范，采购信息发布规范及时，采购流程规范</w:t>
      </w:r>
      <w:r>
        <w:rPr>
          <w:rFonts w:hint="eastAsia" w:cs="仿宋_GB2312"/>
          <w:color w:val="auto"/>
          <w:highlight w:val="none"/>
          <w:lang w:val="en-US" w:eastAsia="zh-CN"/>
        </w:rPr>
        <w:t>。指标得分3分。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color w:val="auto"/>
          <w:szCs w:val="32"/>
          <w:highlight w:val="none"/>
          <w:lang w:eastAsia="zh-CN"/>
        </w:rPr>
      </w:pPr>
      <w:r>
        <w:rPr>
          <w:rFonts w:hint="eastAsia" w:cs="仿宋_GB2312"/>
          <w:b/>
          <w:color w:val="auto"/>
          <w:szCs w:val="32"/>
          <w:highlight w:val="none"/>
          <w:lang w:val="en-US" w:eastAsia="zh-CN"/>
        </w:rPr>
        <w:t>（4）档案管理规范性</w:t>
      </w:r>
      <w:r>
        <w:rPr>
          <w:rFonts w:hint="eastAsia" w:ascii="仿宋_GB2312" w:hAnsi="仿宋_GB2312" w:eastAsia="仿宋_GB2312" w:cs="仿宋_GB2312"/>
          <w:b/>
          <w:color w:val="auto"/>
          <w:szCs w:val="32"/>
          <w:highlight w:val="none"/>
        </w:rPr>
        <w:t>（</w:t>
      </w:r>
      <w:r>
        <w:rPr>
          <w:rFonts w:hint="eastAsia" w:cs="仿宋_GB2312"/>
          <w:b/>
          <w:color w:val="auto"/>
          <w:szCs w:val="32"/>
          <w:highlight w:val="none"/>
          <w:lang w:val="en-US" w:eastAsia="zh-CN"/>
        </w:rPr>
        <w:t>3</w:t>
      </w:r>
      <w:r>
        <w:rPr>
          <w:rFonts w:hint="eastAsia" w:ascii="仿宋_GB2312" w:hAnsi="仿宋_GB2312" w:eastAsia="仿宋_GB2312" w:cs="仿宋_GB2312"/>
          <w:b/>
          <w:color w:val="auto"/>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cs="仿宋_GB2312"/>
          <w:color w:val="auto"/>
          <w:highlight w:val="none"/>
          <w:lang w:val="en-US" w:eastAsia="zh-CN"/>
        </w:rPr>
        <w:t>档案管理规范性指标分值3分，得分为3分。经查阅项目档案资料，省委编办</w:t>
      </w:r>
      <w:r>
        <w:rPr>
          <w:rStyle w:val="18"/>
          <w:rFonts w:hint="eastAsia" w:cs="仿宋_GB2312"/>
          <w:sz w:val="32"/>
          <w:szCs w:val="32"/>
          <w:highlight w:val="none"/>
          <w:lang w:val="en-US" w:eastAsia="zh-CN"/>
        </w:rPr>
        <w:t>严格执行</w:t>
      </w:r>
      <w:r>
        <w:rPr>
          <w:rStyle w:val="18"/>
          <w:rFonts w:hint="eastAsia" w:ascii="仿宋_GB2312" w:hAnsi="仿宋_GB2312" w:eastAsia="仿宋_GB2312" w:cs="仿宋_GB2312"/>
          <w:sz w:val="32"/>
          <w:szCs w:val="32"/>
          <w:highlight w:val="none"/>
          <w:lang w:val="en-US" w:eastAsia="zh-CN"/>
        </w:rPr>
        <w:t>《档案管理制度》，</w:t>
      </w:r>
      <w:r>
        <w:rPr>
          <w:rFonts w:hint="eastAsia" w:cs="仿宋_GB2312"/>
          <w:color w:val="auto"/>
          <w:highlight w:val="none"/>
          <w:lang w:val="en-US" w:eastAsia="zh-CN"/>
        </w:rPr>
        <w:t>建立项目档案，</w:t>
      </w:r>
      <w:r>
        <w:rPr>
          <w:rStyle w:val="18"/>
          <w:rFonts w:hint="eastAsia" w:ascii="仿宋_GB2312" w:hAnsi="仿宋_GB2312" w:eastAsia="仿宋_GB2312" w:cs="仿宋_GB2312"/>
          <w:sz w:val="32"/>
          <w:szCs w:val="32"/>
          <w:highlight w:val="none"/>
          <w:lang w:val="en-US" w:eastAsia="zh-CN"/>
        </w:rPr>
        <w:t>规范业务档案的建立、收集、整理及利用，通过利用档案登记簿，严格档案使用程序，档案管理工作规范化、正规化。</w:t>
      </w:r>
      <w:r>
        <w:rPr>
          <w:rFonts w:hint="eastAsia" w:cs="仿宋_GB2312"/>
          <w:color w:val="auto"/>
          <w:highlight w:val="none"/>
          <w:lang w:val="en-US" w:eastAsia="zh-CN"/>
        </w:rPr>
        <w:t>指标得分3分。</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仿宋_GB2312"/>
          <w:b/>
          <w:bCs/>
          <w:color w:val="auto"/>
          <w:szCs w:val="32"/>
          <w:highlight w:val="none"/>
        </w:rPr>
      </w:pPr>
      <w:bookmarkStart w:id="84" w:name="_Toc31978"/>
      <w:bookmarkStart w:id="85" w:name="_Toc7230"/>
      <w:r>
        <w:rPr>
          <w:rFonts w:hint="eastAsia" w:ascii="楷体_GB2312" w:hAnsi="楷体_GB2312" w:eastAsia="楷体_GB2312" w:cs="楷体_GB2312"/>
          <w:b w:val="0"/>
          <w:bCs/>
          <w:color w:val="auto"/>
          <w:highlight w:val="none"/>
          <w:lang w:val="en-US" w:eastAsia="zh-CN"/>
        </w:rPr>
        <w:fldChar w:fldCharType="begin"/>
      </w:r>
      <w:r>
        <w:rPr>
          <w:rFonts w:hint="eastAsia" w:ascii="楷体_GB2312" w:hAnsi="楷体_GB2312" w:eastAsia="楷体_GB2312" w:cs="楷体_GB2312"/>
          <w:b w:val="0"/>
          <w:bCs/>
          <w:color w:val="auto"/>
          <w:highlight w:val="none"/>
          <w:lang w:val="en-US" w:eastAsia="zh-CN"/>
        </w:rPr>
        <w:instrText xml:space="preserve"> HYPERLINK \l "_Toc32280" </w:instrText>
      </w:r>
      <w:r>
        <w:rPr>
          <w:rFonts w:hint="eastAsia" w:ascii="楷体_GB2312" w:hAnsi="楷体_GB2312" w:eastAsia="楷体_GB2312" w:cs="楷体_GB2312"/>
          <w:b w:val="0"/>
          <w:bCs/>
          <w:color w:val="auto"/>
          <w:highlight w:val="none"/>
          <w:lang w:val="en-US" w:eastAsia="zh-CN"/>
        </w:rPr>
        <w:fldChar w:fldCharType="separate"/>
      </w:r>
      <w:r>
        <w:rPr>
          <w:rFonts w:hint="eastAsia" w:ascii="楷体_GB2312" w:hAnsi="楷体_GB2312" w:eastAsia="楷体_GB2312" w:cs="楷体_GB2312"/>
          <w:b w:val="0"/>
          <w:bCs/>
          <w:color w:val="auto"/>
          <w:highlight w:val="none"/>
          <w:lang w:val="en-US" w:eastAsia="zh-CN"/>
        </w:rPr>
        <w:t>（三）项目产出</w:t>
      </w:r>
      <w:r>
        <w:rPr>
          <w:rFonts w:hint="eastAsia" w:ascii="楷体_GB2312" w:hAnsi="楷体_GB2312" w:eastAsia="楷体_GB2312" w:cs="楷体_GB2312"/>
          <w:b w:val="0"/>
          <w:bCs/>
          <w:color w:val="auto"/>
          <w:highlight w:val="none"/>
          <w:lang w:val="en-US" w:eastAsia="zh-CN"/>
        </w:rPr>
        <w:fldChar w:fldCharType="end"/>
      </w:r>
      <w:r>
        <w:rPr>
          <w:rFonts w:hint="eastAsia" w:ascii="楷体_GB2312" w:hAnsi="楷体_GB2312" w:eastAsia="楷体_GB2312" w:cs="楷体_GB2312"/>
          <w:b w:val="0"/>
          <w:bCs/>
          <w:color w:val="auto"/>
          <w:highlight w:val="none"/>
          <w:lang w:val="en-US" w:eastAsia="zh-CN"/>
        </w:rPr>
        <w:t>情况</w:t>
      </w:r>
      <w:bookmarkEnd w:id="84"/>
      <w:bookmarkEnd w:id="85"/>
    </w:p>
    <w:p>
      <w:pPr>
        <w:keepNext w:val="0"/>
        <w:keepLines w:val="0"/>
        <w:pageBreakBefore w:val="0"/>
        <w:widowControl w:val="0"/>
        <w:kinsoku/>
        <w:wordWrap/>
        <w:overflowPunct/>
        <w:topLinePunct w:val="0"/>
        <w:autoSpaceDE/>
        <w:autoSpaceDN/>
        <w:bidi w:val="0"/>
        <w:adjustRightInd/>
        <w:snapToGrid/>
        <w:spacing w:line="560" w:lineRule="exact"/>
        <w:ind w:leftChars="0" w:firstLine="643"/>
        <w:textAlignment w:val="auto"/>
        <w:rPr>
          <w:rFonts w:hint="eastAsia" w:ascii="仿宋_GB2312" w:hAnsi="仿宋_GB2312" w:eastAsia="仿宋_GB2312" w:cs="仿宋_GB2312"/>
          <w:color w:val="auto"/>
          <w:highlight w:val="none"/>
          <w:lang w:val="en-US" w:eastAsia="zh-CN"/>
        </w:rPr>
      </w:pPr>
      <w:r>
        <w:rPr>
          <w:rFonts w:hint="eastAsia" w:cs="仿宋_GB2312"/>
          <w:color w:val="auto"/>
          <w:highlight w:val="none"/>
          <w:lang w:val="en-US" w:eastAsia="zh-CN"/>
        </w:rPr>
        <w:t>省委编办2021年业务费项目</w:t>
      </w:r>
      <w:r>
        <w:rPr>
          <w:rFonts w:hint="eastAsia" w:ascii="仿宋_GB2312" w:hAnsi="仿宋_GB2312" w:eastAsia="仿宋_GB2312" w:cs="仿宋_GB2312"/>
          <w:color w:val="auto"/>
          <w:highlight w:val="none"/>
          <w:lang w:val="en-US" w:eastAsia="zh-CN"/>
        </w:rPr>
        <w:t>绩效评价</w:t>
      </w:r>
      <w:r>
        <w:rPr>
          <w:rFonts w:hint="eastAsia" w:cs="仿宋_GB2312"/>
          <w:color w:val="auto"/>
          <w:highlight w:val="none"/>
          <w:lang w:val="en-US" w:eastAsia="zh-CN"/>
        </w:rPr>
        <w:t>产出</w:t>
      </w:r>
      <w:r>
        <w:rPr>
          <w:rFonts w:hint="eastAsia" w:ascii="仿宋_GB2312" w:hAnsi="仿宋_GB2312" w:eastAsia="仿宋_GB2312" w:cs="仿宋_GB2312"/>
          <w:color w:val="auto"/>
          <w:highlight w:val="none"/>
          <w:lang w:val="en-US" w:eastAsia="zh-CN"/>
        </w:rPr>
        <w:t>类指标分别</w:t>
      </w:r>
      <w:r>
        <w:rPr>
          <w:rFonts w:hint="eastAsia" w:cs="仿宋_GB2312"/>
          <w:color w:val="auto"/>
          <w:highlight w:val="none"/>
          <w:lang w:val="en-US" w:eastAsia="zh-CN"/>
        </w:rPr>
        <w:t>从</w:t>
      </w:r>
      <w:r>
        <w:rPr>
          <w:rFonts w:hint="eastAsia"/>
          <w:color w:val="auto"/>
          <w:highlight w:val="none"/>
        </w:rPr>
        <w:t>产出数量、产出质量、产出时效和产出成本四个方面进行绩效分析</w:t>
      </w:r>
      <w:r>
        <w:rPr>
          <w:rFonts w:hint="eastAsia" w:cs="仿宋_GB2312"/>
          <w:color w:val="auto"/>
          <w:highlight w:val="none"/>
          <w:lang w:val="en-US" w:eastAsia="zh-CN"/>
        </w:rPr>
        <w:t>。各项</w:t>
      </w:r>
      <w:r>
        <w:rPr>
          <w:rFonts w:hint="eastAsia" w:ascii="仿宋_GB2312" w:hAnsi="仿宋_GB2312" w:eastAsia="仿宋_GB2312" w:cs="仿宋_GB2312"/>
          <w:color w:val="auto"/>
          <w:highlight w:val="none"/>
          <w:lang w:val="en-US" w:eastAsia="zh-CN"/>
        </w:rPr>
        <w:t>指标具体得分情况如下表所示：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2073"/>
        <w:gridCol w:w="3375"/>
        <w:gridCol w:w="1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left w:val="nil"/>
              <w:bottom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bCs/>
                <w:color w:val="auto"/>
                <w:sz w:val="28"/>
                <w:szCs w:val="28"/>
                <w:highlight w:val="none"/>
              </w:rPr>
              <w:t>表</w:t>
            </w:r>
            <w:r>
              <w:rPr>
                <w:rFonts w:hint="eastAsia" w:ascii="宋体" w:hAnsi="宋体" w:eastAsia="宋体" w:cs="宋体"/>
                <w:b/>
                <w:bCs/>
                <w:color w:val="auto"/>
                <w:sz w:val="28"/>
                <w:szCs w:val="28"/>
                <w:highlight w:val="none"/>
                <w:lang w:val="en-US" w:eastAsia="zh-CN"/>
              </w:rPr>
              <w:t>5  产出</w:t>
            </w:r>
            <w:r>
              <w:rPr>
                <w:rFonts w:hint="eastAsia" w:ascii="宋体" w:hAnsi="宋体" w:eastAsia="宋体" w:cs="宋体"/>
                <w:b/>
                <w:bCs/>
                <w:color w:val="auto"/>
                <w:sz w:val="28"/>
                <w:szCs w:val="28"/>
                <w:highlight w:val="none"/>
              </w:rPr>
              <w:t>类各项指标绩效评价</w:t>
            </w:r>
            <w:r>
              <w:rPr>
                <w:rFonts w:hint="eastAsia" w:ascii="宋体" w:hAnsi="宋体" w:eastAsia="宋体" w:cs="宋体"/>
                <w:b/>
                <w:color w:val="auto"/>
                <w:sz w:val="28"/>
                <w:szCs w:val="28"/>
                <w:highlight w:val="none"/>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tcBorders>
              <w:top w:val="double" w:color="000000" w:sz="4" w:space="0"/>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一级指标</w:t>
            </w:r>
          </w:p>
        </w:tc>
        <w:tc>
          <w:tcPr>
            <w:tcW w:w="1216" w:type="pct"/>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二级指标</w:t>
            </w:r>
          </w:p>
        </w:tc>
        <w:tc>
          <w:tcPr>
            <w:tcW w:w="1980" w:type="pct"/>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三级指标</w:t>
            </w:r>
          </w:p>
        </w:tc>
        <w:tc>
          <w:tcPr>
            <w:tcW w:w="651" w:type="pct"/>
            <w:gridSpan w:val="2"/>
            <w:tcBorders>
              <w:top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restart"/>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lang w:eastAsia="zh-CN"/>
              </w:rPr>
            </w:pPr>
            <w:r>
              <w:rPr>
                <w:rFonts w:hint="eastAsia" w:ascii="宋体" w:hAnsi="宋体" w:eastAsia="宋体" w:cs="宋体"/>
                <w:b/>
                <w:color w:val="auto"/>
                <w:sz w:val="24"/>
                <w:szCs w:val="22"/>
                <w:highlight w:val="none"/>
                <w:u w:val="single"/>
                <w:lang w:val="en-US" w:eastAsia="zh-CN"/>
              </w:rPr>
              <w:t>产出</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99.73</w:t>
            </w:r>
            <w:r>
              <w:rPr>
                <w:rFonts w:hint="eastAsia" w:ascii="宋体" w:hAnsi="宋体" w:eastAsia="宋体" w:cs="宋体"/>
                <w:bCs/>
                <w:color w:val="auto"/>
                <w:sz w:val="24"/>
                <w:szCs w:val="22"/>
                <w:highlight w:val="none"/>
              </w:rPr>
              <w:t>%</w:t>
            </w:r>
          </w:p>
        </w:tc>
        <w:tc>
          <w:tcPr>
            <w:tcW w:w="1216" w:type="pct"/>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lang w:val="en-US" w:eastAsia="zh-CN"/>
              </w:rPr>
            </w:pPr>
            <w:r>
              <w:rPr>
                <w:rFonts w:hint="eastAsia" w:ascii="宋体" w:hAnsi="宋体" w:eastAsia="宋体" w:cs="宋体"/>
                <w:b/>
                <w:color w:val="auto"/>
                <w:sz w:val="24"/>
                <w:szCs w:val="22"/>
                <w:highlight w:val="none"/>
                <w:u w:val="single"/>
                <w:lang w:val="en-US" w:eastAsia="zh-CN"/>
              </w:rPr>
              <w:t>产出数量</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100</w:t>
            </w:r>
            <w:r>
              <w:rPr>
                <w:rFonts w:hint="eastAsia" w:ascii="宋体" w:hAnsi="宋体" w:eastAsia="宋体" w:cs="宋体"/>
                <w:bCs/>
                <w:color w:val="auto"/>
                <w:sz w:val="24"/>
                <w:szCs w:val="22"/>
                <w:highlight w:val="none"/>
              </w:rPr>
              <w:t>%</w:t>
            </w: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系统升级改造完成率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培训任务完成率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考察调研任务完成率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机构改革任务完成率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u w:val="single"/>
                <w:lang w:val="en-US" w:eastAsia="zh-CN"/>
              </w:rPr>
            </w:pPr>
            <w:r>
              <w:rPr>
                <w:rFonts w:hint="eastAsia" w:ascii="宋体" w:hAnsi="宋体" w:eastAsia="宋体" w:cs="宋体"/>
                <w:b/>
                <w:color w:val="auto"/>
                <w:sz w:val="24"/>
                <w:szCs w:val="22"/>
                <w:highlight w:val="none"/>
                <w:u w:val="single"/>
                <w:lang w:val="en-US" w:eastAsia="zh-CN"/>
              </w:rPr>
              <w:t>产出质量</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99.17</w:t>
            </w:r>
            <w:r>
              <w:rPr>
                <w:rFonts w:hint="eastAsia" w:ascii="宋体" w:hAnsi="宋体" w:eastAsia="宋体" w:cs="宋体"/>
                <w:bCs/>
                <w:color w:val="auto"/>
                <w:sz w:val="24"/>
                <w:szCs w:val="22"/>
                <w:highlight w:val="none"/>
              </w:rPr>
              <w:t>%</w:t>
            </w: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实名制管理覆盖率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信息化系统正常运行率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维修（护）质量达标率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培训覆盖率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考察调研覆盖率</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u w:val="single"/>
                <w:lang w:val="en-US" w:eastAsia="zh-CN"/>
              </w:rPr>
            </w:pPr>
            <w:r>
              <w:rPr>
                <w:rFonts w:hint="eastAsia" w:ascii="宋体" w:hAnsi="宋体" w:eastAsia="宋体" w:cs="宋体"/>
                <w:b/>
                <w:color w:val="auto"/>
                <w:sz w:val="24"/>
                <w:szCs w:val="22"/>
                <w:highlight w:val="none"/>
                <w:u w:val="single"/>
                <w:lang w:val="en-US" w:eastAsia="zh-CN"/>
              </w:rPr>
              <w:t>产出时效</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100</w:t>
            </w:r>
            <w:r>
              <w:rPr>
                <w:rFonts w:hint="eastAsia" w:ascii="宋体" w:hAnsi="宋体" w:eastAsia="宋体" w:cs="宋体"/>
                <w:bCs/>
                <w:color w:val="auto"/>
                <w:sz w:val="24"/>
                <w:szCs w:val="22"/>
                <w:highlight w:val="none"/>
              </w:rPr>
              <w:t>%</w:t>
            </w: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系统升级维护及时性</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会议培训及时性</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用电保障及时性</w:t>
            </w:r>
          </w:p>
        </w:tc>
        <w:tc>
          <w:tcPr>
            <w:tcW w:w="651" w:type="pct"/>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2" w:type="pct"/>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216" w:type="pc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u w:val="single"/>
                <w:lang w:val="en-US" w:eastAsia="zh-CN"/>
              </w:rPr>
            </w:pPr>
            <w:r>
              <w:rPr>
                <w:rFonts w:hint="eastAsia" w:ascii="宋体" w:hAnsi="宋体" w:eastAsia="宋体" w:cs="宋体"/>
                <w:b/>
                <w:color w:val="auto"/>
                <w:sz w:val="24"/>
                <w:szCs w:val="22"/>
                <w:highlight w:val="none"/>
                <w:u w:val="single"/>
                <w:lang w:val="en-US" w:eastAsia="zh-CN"/>
              </w:rPr>
              <w:t>产出成本</w:t>
            </w:r>
          </w:p>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Cs/>
                <w:color w:val="auto"/>
                <w:sz w:val="24"/>
                <w:szCs w:val="22"/>
                <w:highlight w:val="none"/>
                <w:lang w:val="en-US" w:eastAsia="zh-CN"/>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100</w:t>
            </w:r>
            <w:r>
              <w:rPr>
                <w:rFonts w:hint="eastAsia" w:ascii="宋体" w:hAnsi="宋体" w:eastAsia="宋体" w:cs="宋体"/>
                <w:bCs/>
                <w:color w:val="auto"/>
                <w:sz w:val="24"/>
                <w:szCs w:val="22"/>
                <w:highlight w:val="none"/>
              </w:rPr>
              <w:t>%</w:t>
            </w:r>
          </w:p>
        </w:tc>
        <w:tc>
          <w:tcPr>
            <w:tcW w:w="1985"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rPr>
            </w:pPr>
            <w:r>
              <w:rPr>
                <w:rFonts w:hint="eastAsia" w:ascii="宋体" w:hAnsi="宋体" w:eastAsia="宋体" w:cs="宋体"/>
                <w:b w:val="0"/>
                <w:bCs w:val="0"/>
                <w:i w:val="0"/>
                <w:iCs w:val="0"/>
                <w:color w:val="auto"/>
                <w:kern w:val="0"/>
                <w:sz w:val="24"/>
                <w:szCs w:val="24"/>
                <w:highlight w:val="none"/>
                <w:lang w:val="en-US" w:eastAsia="zh-CN"/>
              </w:rPr>
              <w:t>预算成本控制</w:t>
            </w:r>
          </w:p>
        </w:tc>
        <w:tc>
          <w:tcPr>
            <w:tcW w:w="645" w:type="pct"/>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4" w:type="pct"/>
            <w:gridSpan w:val="4"/>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w:t>
            </w:r>
            <w:r>
              <w:rPr>
                <w:rFonts w:hint="eastAsia" w:ascii="宋体" w:hAnsi="宋体" w:eastAsia="宋体" w:cs="宋体"/>
                <w:b/>
                <w:color w:val="auto"/>
                <w:sz w:val="24"/>
                <w:szCs w:val="22"/>
                <w:highlight w:val="none"/>
                <w:lang w:val="en-US" w:eastAsia="zh-CN"/>
              </w:rPr>
              <w:t>产出</w:t>
            </w:r>
            <w:r>
              <w:rPr>
                <w:rFonts w:hint="eastAsia" w:ascii="宋体" w:hAnsi="宋体" w:eastAsia="宋体" w:cs="宋体"/>
                <w:b/>
                <w:color w:val="auto"/>
                <w:sz w:val="24"/>
                <w:szCs w:val="22"/>
                <w:highlight w:val="none"/>
              </w:rPr>
              <w:t>”情况评级</w:t>
            </w:r>
          </w:p>
        </w:tc>
        <w:tc>
          <w:tcPr>
            <w:tcW w:w="645" w:type="pct"/>
            <w:tcBorders>
              <w:right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lang w:val="en-US" w:eastAsia="zh-CN"/>
              </w:rPr>
            </w:pPr>
            <w:r>
              <w:rPr>
                <w:rFonts w:hint="eastAsia" w:ascii="宋体" w:hAnsi="宋体" w:eastAsia="宋体" w:cs="宋体"/>
                <w:b/>
                <w:color w:val="auto"/>
                <w:sz w:val="24"/>
                <w:szCs w:val="22"/>
                <w:highlight w:val="none"/>
                <w:lang w:val="en-US" w:eastAsia="zh-CN"/>
              </w:rPr>
              <w:t>优</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1.产出数量（1</w:t>
      </w:r>
      <w:r>
        <w:rPr>
          <w:rFonts w:hint="eastAsia" w:cs="仿宋_GB2312"/>
          <w:b/>
          <w:bCs/>
          <w:color w:val="auto"/>
          <w:kern w:val="2"/>
          <w:sz w:val="32"/>
          <w:szCs w:val="32"/>
          <w:highlight w:val="none"/>
          <w:lang w:val="en-US" w:eastAsia="zh-CN" w:bidi="ar-SA"/>
        </w:rPr>
        <w:t>7</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产出数量指标分值1</w:t>
      </w:r>
      <w:r>
        <w:rPr>
          <w:rFonts w:hint="eastAsia" w:cs="仿宋_GB2312"/>
          <w:color w:val="auto"/>
          <w:kern w:val="2"/>
          <w:sz w:val="32"/>
          <w:szCs w:val="32"/>
          <w:highlight w:val="none"/>
          <w:lang w:val="en-US" w:eastAsia="zh-CN" w:bidi="ar-SA"/>
        </w:rPr>
        <w:t>7</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17</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省委编办2021年业务费项目系统升级改造完成率、培训任务完成率、考察调研任务完成率、机构改革任务完成率等产出数量指标均达到预期目标。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cs="仿宋_GB2312"/>
          <w:b/>
          <w:bCs/>
          <w:color w:val="auto"/>
          <w:kern w:val="2"/>
          <w:sz w:val="32"/>
          <w:szCs w:val="32"/>
          <w:highlight w:val="none"/>
          <w:lang w:val="en-US" w:eastAsia="zh-CN" w:bidi="ar-SA"/>
        </w:rPr>
        <w:t>系统升级改造完成率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4</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系统升级改造完成率指标分值</w:t>
      </w:r>
      <w:r>
        <w:rPr>
          <w:rFonts w:hint="eastAsia"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w:t>
      </w:r>
      <w:r>
        <w:rPr>
          <w:rFonts w:hint="eastAsia" w:ascii="仿宋_GB2312" w:hAnsi="仿宋_GB2312" w:eastAsia="仿宋_GB2312" w:cs="仿宋_GB2312"/>
          <w:b w:val="0"/>
          <w:bCs w:val="0"/>
          <w:color w:val="auto"/>
          <w:sz w:val="32"/>
          <w:szCs w:val="32"/>
          <w:highlight w:val="none"/>
          <w:lang w:val="en-US" w:eastAsia="zh-CN"/>
        </w:rPr>
        <w:t>机</w:t>
      </w:r>
      <w:r>
        <w:rPr>
          <w:rFonts w:hint="default" w:ascii="仿宋_GB2312" w:hAnsi="仿宋_GB2312" w:eastAsia="仿宋_GB2312" w:cs="仿宋_GB2312"/>
          <w:b w:val="0"/>
          <w:bCs w:val="0"/>
          <w:color w:val="auto"/>
          <w:sz w:val="32"/>
          <w:szCs w:val="32"/>
          <w:highlight w:val="none"/>
          <w:lang w:val="en-US" w:eastAsia="zh-CN"/>
        </w:rPr>
        <w:t>构编制实名制管理平台升级维护</w:t>
      </w:r>
      <w:r>
        <w:rPr>
          <w:rFonts w:hint="eastAsia" w:cs="仿宋_GB2312"/>
          <w:b w:val="0"/>
          <w:bCs w:val="0"/>
          <w:color w:val="auto"/>
          <w:sz w:val="32"/>
          <w:szCs w:val="32"/>
          <w:highlight w:val="none"/>
          <w:lang w:val="en-US" w:eastAsia="zh-CN"/>
        </w:rPr>
        <w:t>项目</w:t>
      </w:r>
      <w:r>
        <w:rPr>
          <w:rFonts w:hint="eastAsia" w:ascii="仿宋_GB2312" w:hAnsi="仿宋_GB2312" w:eastAsia="仿宋_GB2312" w:cs="仿宋_GB2312"/>
          <w:b w:val="0"/>
          <w:bCs w:val="0"/>
          <w:color w:val="auto"/>
          <w:sz w:val="32"/>
          <w:szCs w:val="32"/>
          <w:highlight w:val="none"/>
          <w:lang w:val="en-US" w:eastAsia="zh-CN"/>
        </w:rPr>
        <w:t>通过增加硬软件系统，完成机构编制实名制管理系统的升级改造，完善机构编制实名制管理。机</w:t>
      </w:r>
      <w:r>
        <w:rPr>
          <w:rFonts w:hint="default" w:ascii="仿宋_GB2312" w:hAnsi="仿宋_GB2312" w:eastAsia="仿宋_GB2312" w:cs="仿宋_GB2312"/>
          <w:b w:val="0"/>
          <w:bCs w:val="0"/>
          <w:color w:val="auto"/>
          <w:sz w:val="32"/>
          <w:szCs w:val="32"/>
          <w:highlight w:val="none"/>
          <w:lang w:val="en-US" w:eastAsia="zh-CN"/>
        </w:rPr>
        <w:t>构编制实名制管理平台</w:t>
      </w:r>
      <w:r>
        <w:rPr>
          <w:rFonts w:hint="eastAsia" w:ascii="仿宋_GB2312" w:hAnsi="仿宋_GB2312" w:eastAsia="仿宋_GB2312" w:cs="仿宋_GB2312"/>
          <w:b w:val="0"/>
          <w:bCs w:val="0"/>
          <w:color w:val="auto"/>
          <w:sz w:val="32"/>
          <w:szCs w:val="32"/>
          <w:highlight w:val="none"/>
          <w:lang w:val="en-US" w:eastAsia="zh-CN"/>
        </w:rPr>
        <w:t>系统升级改造完成率为100%</w:t>
      </w:r>
      <w:r>
        <w:rPr>
          <w:rFonts w:hint="eastAsia"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指标得分＝</w:t>
      </w:r>
      <w:r>
        <w:rPr>
          <w:rFonts w:hint="eastAsia" w:ascii="仿宋_GB2312" w:hAnsi="仿宋_GB2312" w:eastAsia="仿宋_GB2312" w:cs="仿宋_GB2312"/>
          <w:b w:val="0"/>
          <w:bCs w:val="0"/>
          <w:color w:val="auto"/>
          <w:sz w:val="32"/>
          <w:szCs w:val="32"/>
          <w:highlight w:val="none"/>
          <w:lang w:val="en-US" w:eastAsia="zh-CN"/>
        </w:rPr>
        <w:t>系统升级改造完成率*满分</w:t>
      </w:r>
      <w:r>
        <w:rPr>
          <w:rFonts w:hint="eastAsia" w:cs="仿宋_GB2312"/>
          <w:color w:val="auto"/>
          <w:kern w:val="2"/>
          <w:sz w:val="32"/>
          <w:szCs w:val="32"/>
          <w:highlight w:val="none"/>
          <w:lang w:val="en-US" w:eastAsia="zh-CN" w:bidi="ar-SA"/>
        </w:rPr>
        <w:t>值4分＝100%*4分＝4分，得分为4分。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培训任务完成率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4</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培训任务完成率指标分值</w:t>
      </w:r>
      <w:r>
        <w:rPr>
          <w:rFonts w:hint="eastAsia"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分。经核查项目资料</w:t>
      </w:r>
      <w:r>
        <w:rPr>
          <w:rFonts w:hint="eastAsia" w:cs="仿宋_GB2312"/>
          <w:color w:val="auto"/>
          <w:kern w:val="2"/>
          <w:sz w:val="32"/>
          <w:szCs w:val="32"/>
          <w:highlight w:val="none"/>
          <w:lang w:val="en-US" w:eastAsia="zh-CN" w:bidi="ar-SA"/>
        </w:rPr>
        <w:t>，省委编办2021年组织召开全省机构编制工作会议、全省机构编制业务培训班、《中国机构改革与管理》杂志座谈会等</w:t>
      </w:r>
      <w:r>
        <w:rPr>
          <w:rStyle w:val="18"/>
          <w:rFonts w:hint="eastAsia" w:ascii="仿宋_GB2312" w:hAnsi="仿宋_GB2312" w:eastAsia="仿宋_GB2312" w:cs="仿宋_GB2312"/>
          <w:sz w:val="32"/>
          <w:szCs w:val="32"/>
          <w:highlight w:val="none"/>
          <w:lang w:val="en-US" w:eastAsia="zh-CN"/>
        </w:rPr>
        <w:t>各类会议培训11（场）次，参加会议及培训人员涉及全省各市（州）党委编办主任、市（州）党委编办电子政务工作主要负责人及业务骨干、县（市、区）党委编办电子政务工作业务骨干和省委编办全体干部，</w:t>
      </w:r>
      <w:r>
        <w:rPr>
          <w:rFonts w:hint="eastAsia" w:cs="仿宋_GB2312"/>
          <w:color w:val="auto"/>
          <w:kern w:val="2"/>
          <w:sz w:val="32"/>
          <w:szCs w:val="32"/>
          <w:highlight w:val="none"/>
          <w:lang w:val="en-US" w:eastAsia="zh-CN" w:bidi="ar-SA"/>
        </w:rPr>
        <w:t>培训全省机构编制业务人员1000多人次，</w:t>
      </w:r>
      <w:r>
        <w:rPr>
          <w:rStyle w:val="18"/>
          <w:rFonts w:hint="eastAsia" w:ascii="仿宋_GB2312" w:hAnsi="仿宋_GB2312" w:eastAsia="仿宋_GB2312" w:cs="仿宋_GB2312"/>
          <w:sz w:val="32"/>
          <w:szCs w:val="32"/>
          <w:highlight w:val="none"/>
          <w:lang w:val="en-US" w:eastAsia="zh-CN"/>
        </w:rPr>
        <w:t>持续提升全省机构编制干部综合素质和业务能力</w:t>
      </w:r>
      <w:r>
        <w:rPr>
          <w:rStyle w:val="18"/>
          <w:rFonts w:hint="eastAsia" w:cs="仿宋_GB231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培训任务</w:t>
      </w:r>
      <w:r>
        <w:rPr>
          <w:rFonts w:hint="eastAsia" w:cs="仿宋_GB2312"/>
          <w:color w:val="auto"/>
          <w:kern w:val="2"/>
          <w:sz w:val="32"/>
          <w:szCs w:val="32"/>
          <w:highlight w:val="none"/>
          <w:lang w:val="en-US" w:eastAsia="zh-CN" w:bidi="ar-SA"/>
        </w:rPr>
        <w:t>完成率为100%。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指标得分＝培训任务完成率*满分值4分＝100%*4分＝4分，得分为4分。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考察调研任务完成率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4</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考察调研任务完成率指标分值</w:t>
      </w:r>
      <w:r>
        <w:rPr>
          <w:rFonts w:hint="eastAsia"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经查阅相关资料，2021年省委编办</w:t>
      </w:r>
      <w:r>
        <w:rPr>
          <w:rStyle w:val="18"/>
          <w:rFonts w:hint="eastAsia" w:ascii="仿宋_GB2312" w:hAnsi="仿宋_GB2312" w:eastAsia="仿宋_GB2312" w:cs="仿宋_GB2312"/>
          <w:sz w:val="32"/>
          <w:szCs w:val="32"/>
          <w:highlight w:val="none"/>
          <w:lang w:val="en-US" w:eastAsia="zh-CN"/>
        </w:rPr>
        <w:t>坚持案头调研和实地调研相结合，深入甘肃矿区、张掖、陇南开展机构职能优化、国家公园机构设置研究，为科学决策提供有力支撑。组织开展落实机构改革方案和执行“三定”规定情况专项督查，跟踪了解市县机构改革成效和省直部门“三定”规定执行情况，对改革不彻底、执行不到位等问题，督促立行立改，推动各级各部门在职能配置、体制机制、运行管理上更加科学合理、规范高效。2021年，省委编委领导、省委编办领导及各处室涉及机构改革的考察调研达24次</w:t>
      </w:r>
      <w:r>
        <w:rPr>
          <w:rFonts w:hint="eastAsia" w:cs="仿宋_GB2312"/>
          <w:color w:val="auto"/>
          <w:kern w:val="2"/>
          <w:sz w:val="32"/>
          <w:szCs w:val="32"/>
          <w:highlight w:val="none"/>
          <w:lang w:val="en-US" w:eastAsia="zh-CN" w:bidi="ar-SA"/>
        </w:rPr>
        <w:t>，考察调研人数70多人次。考察调研任务完成率100%。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指标得分＝考察调研任务完成率*满分值4分＝100%*4分＝4分，得分为4分。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4</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机构改革任务完成率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5</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机构改革任务完成率指标分值</w:t>
      </w:r>
      <w:r>
        <w:rPr>
          <w:rFonts w:hint="eastAsia"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经查阅相关项目资料，2021年省委编办</w:t>
      </w:r>
      <w:r>
        <w:rPr>
          <w:rFonts w:hint="eastAsia" w:ascii="仿宋_GB2312" w:hAnsi="仿宋_GB2312" w:eastAsia="仿宋_GB2312" w:cs="仿宋_GB2312"/>
          <w:szCs w:val="32"/>
          <w:highlight w:val="none"/>
        </w:rPr>
        <w:t>持续巩固深化党政机构改革成果，全面完成省市县乡四级乡村振兴机构组建工作，调整优化甘肃矿区办事处、省委政法委、省科技厅、省残联机构职能，全面完成120家开发区管理机构整合规范工作。配合推进应急管理综合行政执法改革，督促完成监管执法职责整合、执法队伍组建工作。巩固经营类事业单位改革成果，完成兰州饭店转企改制工作，撤销市县27家处级经营类事业单位，有序推进党政机关和国有企事业单位培训疗养机构改革。年度内按期完成了各项机构编制改革任务</w:t>
      </w:r>
      <w:r>
        <w:rPr>
          <w:rFonts w:hint="eastAsia" w:cs="仿宋_GB231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机构改革任务完成率</w:t>
      </w:r>
      <w:r>
        <w:rPr>
          <w:rFonts w:hint="eastAsia" w:cs="仿宋_GB2312"/>
          <w:color w:val="auto"/>
          <w:kern w:val="2"/>
          <w:sz w:val="32"/>
          <w:szCs w:val="32"/>
          <w:highlight w:val="none"/>
          <w:lang w:val="en-US" w:eastAsia="zh-CN" w:bidi="ar-SA"/>
        </w:rPr>
        <w:t>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指标得分＝机构改革任务完成率*满分值4分＝100%*4分＝4分，得分为4分。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2.产出质量（</w:t>
      </w:r>
      <w:r>
        <w:rPr>
          <w:rFonts w:hint="eastAsia" w:cs="仿宋_GB2312"/>
          <w:b/>
          <w:bCs/>
          <w:color w:val="auto"/>
          <w:kern w:val="2"/>
          <w:sz w:val="32"/>
          <w:szCs w:val="32"/>
          <w:highlight w:val="none"/>
          <w:lang w:val="en-US" w:eastAsia="zh-CN" w:bidi="ar-SA"/>
        </w:rPr>
        <w:t>11.9</w:t>
      </w:r>
      <w:r>
        <w:rPr>
          <w:rFonts w:hint="eastAsia" w:ascii="仿宋_GB2312" w:hAnsi="仿宋_GB2312" w:eastAsia="仿宋_GB2312" w:cs="仿宋_GB2312"/>
          <w:b/>
          <w:bCs/>
          <w:color w:val="auto"/>
          <w:kern w:val="2"/>
          <w:sz w:val="32"/>
          <w:szCs w:val="32"/>
          <w:highlight w:val="none"/>
          <w:lang w:val="en-US" w:eastAsia="zh-CN" w:bidi="ar-SA"/>
        </w:rPr>
        <w:t>分）</w:t>
      </w:r>
      <w:r>
        <w:rPr>
          <w:rFonts w:hint="eastAsia" w:cs="仿宋_GB2312"/>
          <w:b/>
          <w:bCs/>
          <w:color w:val="auto"/>
          <w:kern w:val="2"/>
          <w:sz w:val="32"/>
          <w:szCs w:val="32"/>
          <w:highlight w:val="none"/>
          <w:lang w:val="en-US" w:eastAsia="zh-CN" w:bidi="ar-SA"/>
        </w:rPr>
        <w:t>（-0.1分）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产出质量指标分值1</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11.9</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省委编办2021年业务费项目实名制管理覆盖率、信息化系统正常运行率、维修（护）质量达标率、培训覆盖率、考察调研覆盖率等产出质量指标均达到预期目标。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cs="仿宋_GB2312"/>
          <w:b/>
          <w:bCs/>
          <w:color w:val="auto"/>
          <w:kern w:val="2"/>
          <w:sz w:val="32"/>
          <w:szCs w:val="32"/>
          <w:highlight w:val="none"/>
          <w:lang w:val="en-US" w:eastAsia="zh-CN" w:bidi="ar-SA"/>
        </w:rPr>
        <w:t>实名制管理覆盖率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实名制管理覆盖率指标分值</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经查阅相关资料，省委编办2021年通过机构编制实名制管理系统的升级改造，完善机构编制实名制管理，实现了省、市、县机构编制实名制管理全覆盖。机构编制实名制管理覆盖率为100%。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实名制管理覆盖率达100%，指标得分为3分。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信息化系统正常运行率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2.9</w:t>
      </w:r>
      <w:r>
        <w:rPr>
          <w:rFonts w:hint="eastAsia" w:ascii="仿宋_GB2312" w:hAnsi="仿宋_GB2312" w:eastAsia="仿宋_GB2312" w:cs="仿宋_GB2312"/>
          <w:b/>
          <w:bCs/>
          <w:color w:val="auto"/>
          <w:kern w:val="2"/>
          <w:sz w:val="32"/>
          <w:szCs w:val="32"/>
          <w:highlight w:val="none"/>
          <w:lang w:val="en-US" w:eastAsia="zh-CN" w:bidi="ar-SA"/>
        </w:rPr>
        <w:t>分）</w:t>
      </w:r>
      <w:r>
        <w:rPr>
          <w:rFonts w:hint="eastAsia" w:cs="仿宋_GB2312"/>
          <w:b/>
          <w:bCs/>
          <w:color w:val="auto"/>
          <w:kern w:val="2"/>
          <w:sz w:val="32"/>
          <w:szCs w:val="32"/>
          <w:highlight w:val="none"/>
          <w:lang w:val="en-US" w:eastAsia="zh-CN" w:bidi="ar-SA"/>
        </w:rPr>
        <w:t>（-0.1分）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信息化系统正常运行率指标分值</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分。经查阅</w:t>
      </w:r>
      <w:r>
        <w:rPr>
          <w:rFonts w:hint="eastAsia" w:cs="仿宋_GB2312"/>
          <w:color w:val="auto"/>
          <w:kern w:val="2"/>
          <w:sz w:val="32"/>
          <w:szCs w:val="32"/>
          <w:highlight w:val="none"/>
          <w:lang w:val="en-US" w:eastAsia="zh-CN" w:bidi="ar-SA"/>
        </w:rPr>
        <w:t>相关</w:t>
      </w:r>
      <w:r>
        <w:rPr>
          <w:rFonts w:hint="eastAsia" w:ascii="仿宋_GB2312" w:hAnsi="仿宋_GB2312" w:eastAsia="仿宋_GB2312" w:cs="仿宋_GB2312"/>
          <w:color w:val="auto"/>
          <w:kern w:val="2"/>
          <w:sz w:val="32"/>
          <w:szCs w:val="32"/>
          <w:highlight w:val="none"/>
          <w:lang w:val="en-US" w:eastAsia="zh-CN" w:bidi="ar-SA"/>
        </w:rPr>
        <w:t>资料</w:t>
      </w:r>
      <w:r>
        <w:rPr>
          <w:rFonts w:hint="eastAsia" w:cs="仿宋_GB2312"/>
          <w:color w:val="auto"/>
          <w:kern w:val="2"/>
          <w:sz w:val="32"/>
          <w:szCs w:val="32"/>
          <w:highlight w:val="none"/>
          <w:lang w:val="en-US" w:eastAsia="zh-CN" w:bidi="ar-SA"/>
        </w:rPr>
        <w:t>，2021年，根据网络安全及信息化系统维护需要，省委编办通过自行询价采购的方式确定机房运行维护、网络群系统运行维护、办公区域（终端）设备运行维护第三方服务机构3家，持续做好机房、网络设备维修等工作，为确保各系统的正常运行，第三方服务机构选派3名运维工程师在机房驻场巡查，第一时间解决系统及网络群故障预警，保障了各系统、网络的正常运行。项目满意度调查结果显示，2021年机构编制实名制管理平台、甘肃机构编制网等信息化系统正常运行率为96.3%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指标得分＝信息化系统正常运行率*满分值3分＝96.3%*3分＝2.9分，得分为2.9分。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维修（护）质量达标率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维修（护）质量达标率指标分值</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经查阅相关资料，经过近一年的机房运行维护、网络群系统运行维护及办公区域（终端）设备运行维护，3家第三方服务机构维修效率高、验收合格率高，与省委编办维修（护）需求的匹配度较高。2021年，</w:t>
      </w:r>
      <w:r>
        <w:rPr>
          <w:rStyle w:val="18"/>
          <w:rFonts w:hint="eastAsia" w:ascii="仿宋_GB2312" w:hAnsi="仿宋_GB2312" w:eastAsia="仿宋_GB2312" w:cs="仿宋_GB2312"/>
          <w:sz w:val="32"/>
          <w:szCs w:val="32"/>
          <w:highlight w:val="none"/>
          <w:lang w:val="en-US" w:eastAsia="zh-CN"/>
        </w:rPr>
        <w:t>第三方服务机构选派3名运维工程师在机房驻场巡查，第一时间解决系统及网络群故障预警，保障了各系统、网络的正常运行。</w:t>
      </w:r>
      <w:r>
        <w:rPr>
          <w:rFonts w:hint="eastAsia" w:cs="仿宋_GB2312"/>
          <w:color w:val="auto"/>
          <w:kern w:val="2"/>
          <w:sz w:val="32"/>
          <w:szCs w:val="32"/>
          <w:highlight w:val="none"/>
          <w:lang w:val="en-US" w:eastAsia="zh-CN" w:bidi="ar-SA"/>
        </w:rPr>
        <w:t>系统维修（护）质量达标率100%。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系统维修（护）质量达标率达100%，指标得分为2分。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4</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培训覆盖率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培训覆盖率指标分值</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经核查项目资料，2021年，省委编办组织召开各类会议培训11（场）次，</w:t>
      </w:r>
      <w:r>
        <w:rPr>
          <w:rStyle w:val="18"/>
          <w:rFonts w:hint="eastAsia" w:ascii="仿宋_GB2312" w:hAnsi="仿宋_GB2312" w:eastAsia="仿宋_GB2312" w:cs="仿宋_GB2312"/>
          <w:sz w:val="32"/>
          <w:szCs w:val="32"/>
          <w:highlight w:val="none"/>
          <w:lang w:val="en-US" w:eastAsia="zh-CN"/>
        </w:rPr>
        <w:t>参加会议及培训人员涉及全省各市（州）党委编办主任、市（州）党委编办电子政务工作主要负责人及业务骨干、县（市、区）党委编办电子政务工作业务骨干和省委编办全体干部，</w:t>
      </w:r>
      <w:r>
        <w:rPr>
          <w:rFonts w:hint="eastAsia" w:cs="仿宋_GB2312"/>
          <w:color w:val="auto"/>
          <w:kern w:val="2"/>
          <w:sz w:val="32"/>
          <w:szCs w:val="32"/>
          <w:highlight w:val="none"/>
          <w:lang w:val="en-US" w:eastAsia="zh-CN" w:bidi="ar-SA"/>
        </w:rPr>
        <w:t>培训全省机构编制业务人员1000多人次，</w:t>
      </w:r>
      <w:r>
        <w:rPr>
          <w:rStyle w:val="18"/>
          <w:rFonts w:hint="eastAsia" w:ascii="仿宋_GB2312" w:hAnsi="仿宋_GB2312" w:eastAsia="仿宋_GB2312" w:cs="仿宋_GB2312"/>
          <w:sz w:val="32"/>
          <w:szCs w:val="32"/>
          <w:highlight w:val="none"/>
          <w:lang w:val="en-US" w:eastAsia="zh-CN"/>
        </w:rPr>
        <w:t>持续提升全省机构编制干部综合素质和业务能力</w:t>
      </w:r>
      <w:r>
        <w:rPr>
          <w:rFonts w:hint="eastAsia" w:cs="仿宋_GB2312"/>
          <w:color w:val="auto"/>
          <w:kern w:val="2"/>
          <w:sz w:val="32"/>
          <w:szCs w:val="32"/>
          <w:highlight w:val="none"/>
          <w:lang w:val="en-US" w:eastAsia="zh-CN" w:bidi="ar-SA"/>
        </w:rPr>
        <w:t>。会议培训覆盖率达100%。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培训覆盖率达100%，指标得分为2分。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5</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考察调研覆盖率</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考察调研覆盖率指标分值</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经核查项目资料，2021年，省委编办省委编办</w:t>
      </w:r>
      <w:r>
        <w:rPr>
          <w:rStyle w:val="18"/>
          <w:rFonts w:hint="eastAsia" w:ascii="仿宋_GB2312" w:hAnsi="仿宋_GB2312" w:eastAsia="仿宋_GB2312" w:cs="仿宋_GB2312"/>
          <w:sz w:val="32"/>
          <w:szCs w:val="32"/>
          <w:highlight w:val="none"/>
          <w:lang w:val="en-US" w:eastAsia="zh-CN"/>
        </w:rPr>
        <w:t>坚持案头调研和实地调研相结合，深入甘肃矿区、张掖、陇南开展机构职能优化、国家公园机构设置研究，为科学决策提供有力支撑。组织开展落实机构改革方案和执行“三定”规定情况专项督查，跟踪了解市县机构改革成效和省直部门“三定”规定执行情况，对改革不彻底、执行不到位等问题，督促立行立改，推动各级各部门在职能配置、体制机制、运行管理上更加科学合理、规范高效。开展陕甘边区苏维埃政权、甘肃机构编制工作史研究，理论成果《陕甘边区苏维埃政府政权建设对新时代机构编制工作的启示》在中国机构改革与管理杂志发表。2021年，省委编委领导、省委编办领导及各处室涉及机构改革的考察调研达24次</w:t>
      </w:r>
      <w:r>
        <w:rPr>
          <w:rFonts w:hint="eastAsia" w:cs="仿宋_GB2312"/>
          <w:color w:val="auto"/>
          <w:kern w:val="2"/>
          <w:sz w:val="32"/>
          <w:szCs w:val="32"/>
          <w:highlight w:val="none"/>
          <w:lang w:val="en-US" w:eastAsia="zh-CN" w:bidi="ar-SA"/>
        </w:rPr>
        <w:t>，考察调研人数70多人次。考察调研覆盖率达100%。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考察调研覆盖率达100%，指标得分为2分。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3.产出时效（</w:t>
      </w:r>
      <w:r>
        <w:rPr>
          <w:rFonts w:hint="eastAsia" w:cs="仿宋_GB2312"/>
          <w:b/>
          <w:bCs/>
          <w:color w:val="auto"/>
          <w:kern w:val="2"/>
          <w:sz w:val="32"/>
          <w:szCs w:val="32"/>
          <w:highlight w:val="none"/>
          <w:lang w:val="en-US" w:eastAsia="zh-CN" w:bidi="ar-SA"/>
        </w:rPr>
        <w:t>6</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产出时效指标分值</w:t>
      </w:r>
      <w:r>
        <w:rPr>
          <w:rFonts w:hint="eastAsia"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省委编办2021年业务费项目系统升级维护、会议培训、用电保障等及时进行</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cs="仿宋_GB2312"/>
          <w:b/>
          <w:bCs/>
          <w:color w:val="auto"/>
          <w:kern w:val="2"/>
          <w:sz w:val="32"/>
          <w:szCs w:val="32"/>
          <w:highlight w:val="none"/>
          <w:lang w:val="en-US" w:eastAsia="zh-CN" w:bidi="ar-SA"/>
        </w:rPr>
        <w:t>系统升级维护</w:t>
      </w:r>
      <w:r>
        <w:rPr>
          <w:rFonts w:hint="eastAsia" w:ascii="仿宋_GB2312" w:hAnsi="仿宋_GB2312" w:eastAsia="仿宋_GB2312" w:cs="仿宋_GB2312"/>
          <w:b/>
          <w:bCs/>
          <w:color w:val="auto"/>
          <w:kern w:val="2"/>
          <w:sz w:val="32"/>
          <w:szCs w:val="32"/>
          <w:highlight w:val="none"/>
          <w:lang w:val="en-US" w:eastAsia="zh-CN" w:bidi="ar-SA"/>
        </w:rPr>
        <w:t>及时性（</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系统升级维护及时性指标分值</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w:t>
      </w:r>
      <w:r>
        <w:rPr>
          <w:rStyle w:val="18"/>
          <w:rFonts w:hint="eastAsia" w:ascii="仿宋_GB2312" w:hAnsi="仿宋_GB2312" w:eastAsia="仿宋_GB2312" w:cs="仿宋_GB2312"/>
          <w:sz w:val="32"/>
          <w:szCs w:val="32"/>
          <w:highlight w:val="none"/>
          <w:lang w:val="en-US" w:eastAsia="zh-CN"/>
        </w:rPr>
        <w:t>2021年，</w:t>
      </w:r>
      <w:r>
        <w:rPr>
          <w:rFonts w:hint="eastAsia" w:ascii="仿宋_GB2312" w:hAnsi="仿宋_GB2312" w:eastAsia="仿宋_GB2312" w:cs="仿宋_GB2312"/>
          <w:highlight w:val="none"/>
          <w:lang w:val="en-US" w:eastAsia="zh-CN"/>
        </w:rPr>
        <w:t>第三方服务机构选派</w:t>
      </w:r>
      <w:r>
        <w:rPr>
          <w:rStyle w:val="18"/>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highlight w:val="none"/>
          <w:lang w:val="en-US" w:eastAsia="zh-CN"/>
        </w:rPr>
        <w:t>名运维工程师在机房驻场巡查，保证在2日内解决</w:t>
      </w:r>
      <w:r>
        <w:rPr>
          <w:rStyle w:val="18"/>
          <w:rFonts w:hint="eastAsia" w:ascii="仿宋_GB2312" w:hAnsi="仿宋_GB2312" w:eastAsia="仿宋_GB2312" w:cs="仿宋_GB2312"/>
          <w:sz w:val="32"/>
          <w:szCs w:val="32"/>
          <w:highlight w:val="none"/>
          <w:lang w:val="en-US" w:eastAsia="zh-CN"/>
        </w:rPr>
        <w:t>机构编制实名</w:t>
      </w:r>
      <w:r>
        <w:rPr>
          <w:rFonts w:hint="eastAsia" w:ascii="仿宋_GB2312" w:hAnsi="仿宋_GB2312" w:eastAsia="仿宋_GB2312" w:cs="仿宋_GB2312"/>
          <w:highlight w:val="none"/>
          <w:lang w:val="en-US" w:eastAsia="zh-CN"/>
        </w:rPr>
        <w:t>制管理系统及网络群故障预警问题，保障了各系统、网络的正常运行。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系统升级维护及时，指标得分为2分。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会议培训</w:t>
      </w:r>
      <w:r>
        <w:rPr>
          <w:rFonts w:hint="eastAsia" w:ascii="仿宋_GB2312" w:hAnsi="仿宋_GB2312" w:eastAsia="仿宋_GB2312" w:cs="仿宋_GB2312"/>
          <w:b/>
          <w:bCs/>
          <w:color w:val="auto"/>
          <w:kern w:val="2"/>
          <w:sz w:val="32"/>
          <w:szCs w:val="32"/>
          <w:highlight w:val="none"/>
          <w:lang w:val="en-US" w:eastAsia="zh-CN" w:bidi="ar-SA"/>
        </w:rPr>
        <w:t>及时性（</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会议培训及时性指标分值</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2021年，省委编办根据业务工作推进情况及上级文件、会议精神，及时组织省直部门分管领导、市（州）党委编办主任召开工作推进会，传达上级会议精神；同时，根据业务需要，及时召开相关业务现场培训或视频培训会议，让业务人员第一时间熟悉业务新要求、新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会议培训及时，指标得分为2分。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用电保障</w:t>
      </w:r>
      <w:r>
        <w:rPr>
          <w:rFonts w:hint="eastAsia" w:ascii="仿宋_GB2312" w:hAnsi="仿宋_GB2312" w:eastAsia="仿宋_GB2312" w:cs="仿宋_GB2312"/>
          <w:b/>
          <w:bCs/>
          <w:color w:val="auto"/>
          <w:kern w:val="2"/>
          <w:sz w:val="32"/>
          <w:szCs w:val="32"/>
          <w:highlight w:val="none"/>
          <w:lang w:val="en-US" w:eastAsia="zh-CN" w:bidi="ar-SA"/>
        </w:rPr>
        <w:t>及时性（</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用电保障及时性指标分值</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2021年，省委编办将机房用电列入财政预算，确保了机房电费的足额缴纳，保障了机房的正常运行，并根据以往年度用电情况，定期了解机房用电量及电费余额，及时缴纳机房电费，保障了各系统的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用电保障及时，指标得分为2分。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4.产出成本（</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Cs/>
          <w:color w:val="auto"/>
          <w:szCs w:val="32"/>
          <w:highlight w:val="none"/>
          <w:lang w:val="en-US" w:eastAsia="zh-CN"/>
        </w:rPr>
      </w:pPr>
      <w:r>
        <w:rPr>
          <w:rFonts w:hint="eastAsia" w:cs="仿宋_GB2312"/>
          <w:bCs/>
          <w:color w:val="auto"/>
          <w:szCs w:val="32"/>
          <w:highlight w:val="none"/>
          <w:lang w:val="en-US" w:eastAsia="zh-CN"/>
        </w:rPr>
        <w:t>产出成本指标分值2分，得分为2分。省委编办2021年业务费项目预算成本执行结果未超支，在预算成本控制范围内。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cs="仿宋_GB2312"/>
          <w:b/>
          <w:bCs/>
          <w:color w:val="auto"/>
          <w:kern w:val="2"/>
          <w:sz w:val="32"/>
          <w:szCs w:val="32"/>
          <w:highlight w:val="none"/>
          <w:lang w:val="en-US" w:eastAsia="zh-CN" w:bidi="ar-SA"/>
        </w:rPr>
        <w:t>预算成本控制</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Cs/>
          <w:color w:val="auto"/>
          <w:szCs w:val="32"/>
          <w:highlight w:val="none"/>
          <w:lang w:val="en-US" w:eastAsia="zh-CN"/>
        </w:rPr>
      </w:pPr>
      <w:r>
        <w:rPr>
          <w:rFonts w:hint="eastAsia" w:cs="仿宋_GB2312"/>
          <w:bCs/>
          <w:color w:val="auto"/>
          <w:szCs w:val="32"/>
          <w:highlight w:val="none"/>
          <w:lang w:val="en-US" w:eastAsia="zh-CN"/>
        </w:rPr>
        <w:t>预算成本控制指标分值2分，得分为2分。根据查阅项目相关支出凭证，2021年省委编办业务费项目总预算320万元，实际到位320万元，实际支出245.77万元，未超出项目预算。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bCs/>
          <w:color w:val="auto"/>
          <w:szCs w:val="32"/>
          <w:highlight w:val="none"/>
          <w:lang w:val="en-US" w:eastAsia="zh-CN"/>
        </w:rPr>
      </w:pPr>
      <w:r>
        <w:rPr>
          <w:rFonts w:hint="eastAsia" w:cs="仿宋_GB2312"/>
          <w:bCs/>
          <w:color w:val="auto"/>
          <w:szCs w:val="32"/>
          <w:highlight w:val="none"/>
          <w:lang w:val="en-US" w:eastAsia="zh-CN"/>
        </w:rPr>
        <w:t>根据指标体系评分标准，项目预算成本执行结果没有超支，在预算成本控制范围内。</w:t>
      </w:r>
      <w:r>
        <w:rPr>
          <w:rFonts w:hint="eastAsia" w:cs="仿宋_GB2312"/>
          <w:color w:val="auto"/>
          <w:kern w:val="2"/>
          <w:sz w:val="32"/>
          <w:szCs w:val="32"/>
          <w:highlight w:val="none"/>
          <w:lang w:val="en-US" w:eastAsia="zh-CN" w:bidi="ar-SA"/>
        </w:rPr>
        <w:t>指标</w:t>
      </w:r>
      <w:r>
        <w:rPr>
          <w:rFonts w:hint="eastAsia" w:cs="仿宋_GB2312"/>
          <w:bCs/>
          <w:color w:val="auto"/>
          <w:szCs w:val="32"/>
          <w:highlight w:val="none"/>
          <w:lang w:val="en-US" w:eastAsia="zh-CN"/>
        </w:rPr>
        <w:t>得分为2分。</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仿宋_GB2312"/>
          <w:b/>
          <w:bCs/>
          <w:color w:val="auto"/>
          <w:szCs w:val="32"/>
          <w:highlight w:val="none"/>
        </w:rPr>
      </w:pPr>
      <w:bookmarkStart w:id="86" w:name="_Toc13518"/>
      <w:bookmarkStart w:id="87" w:name="_Toc29458"/>
      <w:bookmarkStart w:id="88" w:name="_Toc28027"/>
      <w:r>
        <w:rPr>
          <w:rFonts w:hint="eastAsia" w:ascii="楷体_GB2312" w:hAnsi="楷体_GB2312" w:eastAsia="楷体_GB2312" w:cs="楷体_GB2312"/>
          <w:b w:val="0"/>
          <w:bCs/>
          <w:color w:val="auto"/>
          <w:highlight w:val="none"/>
          <w:lang w:val="en-US" w:eastAsia="zh-CN"/>
        </w:rPr>
        <w:fldChar w:fldCharType="begin"/>
      </w:r>
      <w:r>
        <w:rPr>
          <w:rFonts w:hint="eastAsia" w:ascii="楷体_GB2312" w:hAnsi="楷体_GB2312" w:eastAsia="楷体_GB2312" w:cs="楷体_GB2312"/>
          <w:b w:val="0"/>
          <w:bCs/>
          <w:color w:val="auto"/>
          <w:highlight w:val="none"/>
          <w:lang w:val="en-US" w:eastAsia="zh-CN"/>
        </w:rPr>
        <w:instrText xml:space="preserve"> HYPERLINK \l "_Toc31209" </w:instrText>
      </w:r>
      <w:r>
        <w:rPr>
          <w:rFonts w:hint="eastAsia" w:ascii="楷体_GB2312" w:hAnsi="楷体_GB2312" w:eastAsia="楷体_GB2312" w:cs="楷体_GB2312"/>
          <w:b w:val="0"/>
          <w:bCs/>
          <w:color w:val="auto"/>
          <w:highlight w:val="none"/>
          <w:lang w:val="en-US" w:eastAsia="zh-CN"/>
        </w:rPr>
        <w:fldChar w:fldCharType="separate"/>
      </w:r>
      <w:r>
        <w:rPr>
          <w:rFonts w:hint="eastAsia" w:ascii="楷体_GB2312" w:hAnsi="楷体_GB2312" w:eastAsia="楷体_GB2312" w:cs="楷体_GB2312"/>
          <w:b w:val="0"/>
          <w:bCs/>
          <w:color w:val="auto"/>
          <w:highlight w:val="none"/>
          <w:lang w:val="en-US" w:eastAsia="zh-CN"/>
        </w:rPr>
        <w:t>（四）项目效益</w:t>
      </w:r>
      <w:r>
        <w:rPr>
          <w:rFonts w:hint="eastAsia" w:ascii="楷体_GB2312" w:hAnsi="楷体_GB2312" w:eastAsia="楷体_GB2312" w:cs="楷体_GB2312"/>
          <w:b w:val="0"/>
          <w:bCs/>
          <w:color w:val="auto"/>
          <w:highlight w:val="none"/>
          <w:lang w:val="en-US" w:eastAsia="zh-CN"/>
        </w:rPr>
        <w:fldChar w:fldCharType="end"/>
      </w:r>
      <w:r>
        <w:rPr>
          <w:rFonts w:hint="eastAsia" w:ascii="楷体_GB2312" w:hAnsi="楷体_GB2312" w:eastAsia="楷体_GB2312" w:cs="楷体_GB2312"/>
          <w:b w:val="0"/>
          <w:bCs/>
          <w:color w:val="auto"/>
          <w:highlight w:val="none"/>
          <w:lang w:val="en-US" w:eastAsia="zh-CN"/>
        </w:rPr>
        <w:t>情况</w:t>
      </w:r>
      <w:bookmarkEnd w:id="86"/>
      <w:bookmarkEnd w:id="87"/>
    </w:p>
    <w:p>
      <w:pPr>
        <w:keepNext w:val="0"/>
        <w:keepLines w:val="0"/>
        <w:pageBreakBefore w:val="0"/>
        <w:widowControl w:val="0"/>
        <w:kinsoku/>
        <w:wordWrap/>
        <w:overflowPunct/>
        <w:topLinePunct w:val="0"/>
        <w:autoSpaceDE/>
        <w:autoSpaceDN/>
        <w:bidi w:val="0"/>
        <w:adjustRightInd/>
        <w:snapToGrid/>
        <w:spacing w:line="560" w:lineRule="exact"/>
        <w:ind w:leftChars="0" w:firstLine="643"/>
        <w:textAlignment w:val="auto"/>
        <w:rPr>
          <w:rFonts w:hint="eastAsia" w:ascii="仿宋_GB2312" w:hAnsi="仿宋_GB2312" w:eastAsia="仿宋_GB2312" w:cs="仿宋_GB2312"/>
          <w:color w:val="auto"/>
          <w:highlight w:val="none"/>
          <w:lang w:val="en-US" w:eastAsia="zh-CN"/>
        </w:rPr>
      </w:pPr>
      <w:r>
        <w:rPr>
          <w:rFonts w:hint="eastAsia" w:cs="仿宋_GB2312"/>
          <w:color w:val="auto"/>
          <w:highlight w:val="none"/>
          <w:lang w:val="en-US" w:eastAsia="zh-CN"/>
        </w:rPr>
        <w:t>省委编办2021年业务费项目</w:t>
      </w:r>
      <w:r>
        <w:rPr>
          <w:rFonts w:hint="eastAsia" w:ascii="仿宋_GB2312" w:hAnsi="仿宋_GB2312" w:eastAsia="仿宋_GB2312" w:cs="仿宋_GB2312"/>
          <w:color w:val="auto"/>
          <w:highlight w:val="none"/>
          <w:lang w:val="en-US" w:eastAsia="zh-CN"/>
        </w:rPr>
        <w:t>绩效评价</w:t>
      </w:r>
      <w:r>
        <w:rPr>
          <w:rFonts w:hint="eastAsia" w:cs="仿宋_GB2312"/>
          <w:color w:val="auto"/>
          <w:highlight w:val="none"/>
          <w:lang w:val="en-US" w:eastAsia="zh-CN"/>
        </w:rPr>
        <w:t>效益</w:t>
      </w:r>
      <w:r>
        <w:rPr>
          <w:rFonts w:hint="eastAsia" w:ascii="仿宋_GB2312" w:hAnsi="仿宋_GB2312" w:eastAsia="仿宋_GB2312" w:cs="仿宋_GB2312"/>
          <w:color w:val="auto"/>
          <w:highlight w:val="none"/>
          <w:lang w:val="en-US" w:eastAsia="zh-CN"/>
        </w:rPr>
        <w:t>类指标分别</w:t>
      </w:r>
      <w:r>
        <w:rPr>
          <w:rFonts w:hint="eastAsia" w:cs="仿宋_GB2312"/>
          <w:color w:val="auto"/>
          <w:highlight w:val="none"/>
          <w:lang w:val="en-US" w:eastAsia="zh-CN"/>
        </w:rPr>
        <w:t>从</w:t>
      </w:r>
      <w:r>
        <w:rPr>
          <w:rFonts w:hint="eastAsia" w:cs="Times New Roman"/>
          <w:color w:val="auto"/>
          <w:highlight w:val="none"/>
        </w:rPr>
        <w:t>社会效益、可持续影响、满意度</w:t>
      </w:r>
      <w:r>
        <w:rPr>
          <w:rFonts w:hint="eastAsia" w:cs="Times New Roman"/>
          <w:color w:val="auto"/>
          <w:highlight w:val="none"/>
          <w:lang w:eastAsia="zh-CN"/>
        </w:rPr>
        <w:t>三</w:t>
      </w:r>
      <w:r>
        <w:rPr>
          <w:rFonts w:hint="eastAsia" w:cs="Times New Roman"/>
          <w:color w:val="auto"/>
          <w:highlight w:val="none"/>
        </w:rPr>
        <w:t>个方面进行评价分析</w:t>
      </w:r>
      <w:r>
        <w:rPr>
          <w:rFonts w:hint="eastAsia" w:cs="仿宋_GB2312"/>
          <w:color w:val="auto"/>
          <w:highlight w:val="none"/>
          <w:lang w:val="en-US" w:eastAsia="zh-CN"/>
        </w:rPr>
        <w:t>。各项</w:t>
      </w:r>
      <w:r>
        <w:rPr>
          <w:rFonts w:hint="eastAsia" w:ascii="仿宋_GB2312" w:hAnsi="仿宋_GB2312" w:eastAsia="仿宋_GB2312" w:cs="仿宋_GB2312"/>
          <w:color w:val="auto"/>
          <w:highlight w:val="none"/>
          <w:lang w:val="en-US" w:eastAsia="zh-CN"/>
        </w:rPr>
        <w:t>指标具体得分情况如下表所示：</w:t>
      </w:r>
    </w:p>
    <w:tbl>
      <w:tblPr>
        <w:tblStyle w:val="16"/>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909"/>
        <w:gridCol w:w="3126"/>
        <w:gridCol w:w="2"/>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859" w:type="dxa"/>
            <w:gridSpan w:val="5"/>
            <w:tcBorders>
              <w:top w:val="nil"/>
              <w:left w:val="nil"/>
              <w:bottom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bCs/>
                <w:color w:val="auto"/>
                <w:sz w:val="28"/>
                <w:szCs w:val="28"/>
                <w:highlight w:val="none"/>
              </w:rPr>
              <w:t>表</w:t>
            </w:r>
            <w:r>
              <w:rPr>
                <w:rFonts w:hint="eastAsia" w:ascii="宋体" w:hAnsi="宋体" w:eastAsia="宋体" w:cs="宋体"/>
                <w:b/>
                <w:bCs/>
                <w:color w:val="auto"/>
                <w:sz w:val="28"/>
                <w:szCs w:val="28"/>
                <w:highlight w:val="none"/>
                <w:lang w:val="en-US" w:eastAsia="zh-CN"/>
              </w:rPr>
              <w:t xml:space="preserve">6 </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效益</w:t>
            </w:r>
            <w:r>
              <w:rPr>
                <w:rFonts w:hint="eastAsia" w:ascii="宋体" w:hAnsi="宋体" w:eastAsia="宋体" w:cs="宋体"/>
                <w:b/>
                <w:bCs/>
                <w:color w:val="auto"/>
                <w:sz w:val="28"/>
                <w:szCs w:val="28"/>
                <w:highlight w:val="none"/>
              </w:rPr>
              <w:t>类各项指标绩效评价</w:t>
            </w:r>
            <w:r>
              <w:rPr>
                <w:rFonts w:hint="eastAsia" w:ascii="宋体" w:hAnsi="宋体" w:eastAsia="宋体" w:cs="宋体"/>
                <w:b/>
                <w:color w:val="auto"/>
                <w:sz w:val="28"/>
                <w:szCs w:val="28"/>
                <w:highlight w:val="none"/>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3" w:type="dxa"/>
            <w:tcBorders>
              <w:top w:val="double" w:color="000000" w:sz="4" w:space="0"/>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一级指标</w:t>
            </w:r>
          </w:p>
        </w:tc>
        <w:tc>
          <w:tcPr>
            <w:tcW w:w="1909" w:type="dxa"/>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二级指标</w:t>
            </w:r>
          </w:p>
        </w:tc>
        <w:tc>
          <w:tcPr>
            <w:tcW w:w="3128" w:type="dxa"/>
            <w:gridSpan w:val="2"/>
            <w:tcBorders>
              <w:top w:val="doub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三级指标</w:t>
            </w:r>
          </w:p>
        </w:tc>
        <w:tc>
          <w:tcPr>
            <w:tcW w:w="1019" w:type="dxa"/>
            <w:tcBorders>
              <w:top w:val="double" w:color="000000" w:sz="4" w:space="0"/>
              <w:righ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03" w:type="dxa"/>
            <w:vMerge w:val="restart"/>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lang w:eastAsia="zh-CN"/>
              </w:rPr>
            </w:pPr>
            <w:r>
              <w:rPr>
                <w:rFonts w:hint="eastAsia" w:ascii="宋体" w:hAnsi="宋体" w:eastAsia="宋体" w:cs="宋体"/>
                <w:b/>
                <w:color w:val="auto"/>
                <w:sz w:val="24"/>
                <w:szCs w:val="22"/>
                <w:highlight w:val="none"/>
                <w:u w:val="single"/>
                <w:lang w:val="en-US" w:eastAsia="zh-CN"/>
              </w:rPr>
              <w:t>效益</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99.23</w:t>
            </w:r>
            <w:r>
              <w:rPr>
                <w:rFonts w:hint="eastAsia" w:ascii="宋体" w:hAnsi="宋体" w:eastAsia="宋体" w:cs="宋体"/>
                <w:bCs/>
                <w:color w:val="auto"/>
                <w:sz w:val="24"/>
                <w:szCs w:val="22"/>
                <w:highlight w:val="none"/>
              </w:rPr>
              <w:t>%</w:t>
            </w:r>
          </w:p>
        </w:tc>
        <w:tc>
          <w:tcPr>
            <w:tcW w:w="1909" w:type="dxa"/>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u w:val="single"/>
                <w:lang w:val="en-US" w:eastAsia="zh-CN"/>
              </w:rPr>
            </w:pPr>
            <w:r>
              <w:rPr>
                <w:rFonts w:hint="eastAsia" w:ascii="宋体" w:hAnsi="宋体" w:eastAsia="宋体" w:cs="宋体"/>
                <w:b/>
                <w:color w:val="auto"/>
                <w:sz w:val="24"/>
                <w:szCs w:val="22"/>
                <w:highlight w:val="none"/>
                <w:u w:val="single"/>
                <w:lang w:val="en-US" w:eastAsia="zh-CN"/>
              </w:rPr>
              <w:t>社会效益</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98.33</w:t>
            </w:r>
            <w:r>
              <w:rPr>
                <w:rFonts w:hint="eastAsia" w:ascii="宋体" w:hAnsi="宋体" w:eastAsia="宋体" w:cs="宋体"/>
                <w:bCs/>
                <w:color w:val="auto"/>
                <w:sz w:val="24"/>
                <w:szCs w:val="22"/>
                <w:highlight w:val="none"/>
              </w:rPr>
              <w:t>%</w:t>
            </w:r>
          </w:p>
        </w:tc>
        <w:tc>
          <w:tcPr>
            <w:tcW w:w="312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巩固深化机构改革成果</w:t>
            </w:r>
          </w:p>
        </w:tc>
        <w:tc>
          <w:tcPr>
            <w:tcW w:w="1019" w:type="dxa"/>
            <w:tcBorders>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03"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0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312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优化编制资源配置</w:t>
            </w:r>
          </w:p>
        </w:tc>
        <w:tc>
          <w:tcPr>
            <w:tcW w:w="1019" w:type="dxa"/>
            <w:tcBorders>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0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312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推进重点领域改革</w:t>
            </w:r>
          </w:p>
        </w:tc>
        <w:tc>
          <w:tcPr>
            <w:tcW w:w="1019" w:type="dxa"/>
            <w:tcBorders>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190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312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提升机构编制法治意识</w:t>
            </w:r>
          </w:p>
        </w:tc>
        <w:tc>
          <w:tcPr>
            <w:tcW w:w="1019" w:type="dxa"/>
            <w:tcBorders>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 w:val="0"/>
                <w:bCs w:val="0"/>
                <w:i w:val="0"/>
                <w:i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909" w:type="dxa"/>
            <w:vMerge w:val="restart"/>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u w:val="single"/>
                <w:lang w:val="en-US" w:eastAsia="zh-CN"/>
              </w:rPr>
            </w:pPr>
            <w:r>
              <w:rPr>
                <w:rFonts w:hint="eastAsia" w:ascii="宋体" w:hAnsi="宋体" w:eastAsia="宋体" w:cs="宋体"/>
                <w:b/>
                <w:color w:val="auto"/>
                <w:sz w:val="24"/>
                <w:szCs w:val="22"/>
                <w:highlight w:val="none"/>
                <w:u w:val="single"/>
                <w:lang w:val="en-US" w:eastAsia="zh-CN"/>
              </w:rPr>
              <w:t>可持续影响</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100</w:t>
            </w:r>
            <w:r>
              <w:rPr>
                <w:rFonts w:hint="eastAsia" w:ascii="宋体" w:hAnsi="宋体" w:eastAsia="宋体" w:cs="宋体"/>
                <w:bCs/>
                <w:color w:val="auto"/>
                <w:sz w:val="24"/>
                <w:szCs w:val="22"/>
                <w:highlight w:val="none"/>
              </w:rPr>
              <w:t>%</w:t>
            </w:r>
          </w:p>
        </w:tc>
        <w:tc>
          <w:tcPr>
            <w:tcW w:w="31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提高机构编制管理服务水平</w:t>
            </w:r>
          </w:p>
        </w:tc>
        <w:tc>
          <w:tcPr>
            <w:tcW w:w="1021"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90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31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建立健全部门协作机制</w:t>
            </w:r>
          </w:p>
        </w:tc>
        <w:tc>
          <w:tcPr>
            <w:tcW w:w="1021"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03"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909" w:type="dxa"/>
            <w:vMerge w:val="continue"/>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Cs/>
                <w:color w:val="auto"/>
                <w:sz w:val="24"/>
                <w:szCs w:val="22"/>
                <w:highlight w:val="none"/>
              </w:rPr>
            </w:pPr>
          </w:p>
        </w:tc>
        <w:tc>
          <w:tcPr>
            <w:tcW w:w="31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建立信息共享机制</w:t>
            </w:r>
          </w:p>
        </w:tc>
        <w:tc>
          <w:tcPr>
            <w:tcW w:w="1021"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default"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803" w:type="dxa"/>
            <w:vMerge w:val="continue"/>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u w:val="single"/>
              </w:rPr>
            </w:pPr>
          </w:p>
        </w:tc>
        <w:tc>
          <w:tcPr>
            <w:tcW w:w="1909" w:type="dxa"/>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u w:val="single"/>
                <w:lang w:val="en-US" w:eastAsia="zh-CN"/>
              </w:rPr>
            </w:pPr>
            <w:r>
              <w:rPr>
                <w:rFonts w:hint="eastAsia" w:ascii="宋体" w:hAnsi="宋体" w:eastAsia="宋体" w:cs="宋体"/>
                <w:b/>
                <w:color w:val="auto"/>
                <w:sz w:val="24"/>
                <w:szCs w:val="22"/>
                <w:highlight w:val="none"/>
                <w:u w:val="single"/>
                <w:lang w:val="en-US" w:eastAsia="zh-CN"/>
              </w:rPr>
              <w:t>满意度</w:t>
            </w:r>
          </w:p>
          <w:p>
            <w:pPr>
              <w:keepNext w:val="0"/>
              <w:keepLines w:val="0"/>
              <w:pageBreakBefore w:val="0"/>
              <w:widowControl w:val="0"/>
              <w:kinsoku/>
              <w:overflowPunct/>
              <w:topLinePunct w:val="0"/>
              <w:autoSpaceDE/>
              <w:autoSpaceDN/>
              <w:bidi w:val="0"/>
              <w:spacing w:line="240" w:lineRule="auto"/>
              <w:ind w:firstLine="0" w:firstLineChars="0"/>
              <w:jc w:val="center"/>
              <w:rPr>
                <w:rFonts w:hint="default" w:ascii="宋体" w:hAnsi="宋体" w:eastAsia="宋体" w:cs="宋体"/>
                <w:bCs/>
                <w:color w:val="auto"/>
                <w:sz w:val="24"/>
                <w:szCs w:val="22"/>
                <w:highlight w:val="none"/>
                <w:lang w:val="en-US" w:eastAsia="zh-CN"/>
              </w:rPr>
            </w:pPr>
            <w:r>
              <w:rPr>
                <w:rFonts w:hint="eastAsia" w:ascii="宋体" w:hAnsi="宋体" w:eastAsia="宋体" w:cs="宋体"/>
                <w:bCs/>
                <w:color w:val="auto"/>
                <w:sz w:val="24"/>
                <w:szCs w:val="22"/>
                <w:highlight w:val="none"/>
              </w:rPr>
              <w:t>得分率：</w:t>
            </w:r>
            <w:r>
              <w:rPr>
                <w:rFonts w:hint="eastAsia" w:ascii="宋体" w:hAnsi="宋体" w:eastAsia="宋体" w:cs="宋体"/>
                <w:bCs/>
                <w:color w:val="auto"/>
                <w:sz w:val="24"/>
                <w:szCs w:val="22"/>
                <w:highlight w:val="none"/>
                <w:lang w:val="en-US" w:eastAsia="zh-CN"/>
              </w:rPr>
              <w:t>100</w:t>
            </w:r>
            <w:r>
              <w:rPr>
                <w:rFonts w:hint="eastAsia" w:ascii="宋体" w:hAnsi="宋体" w:eastAsia="宋体" w:cs="宋体"/>
                <w:bCs/>
                <w:color w:val="auto"/>
                <w:sz w:val="24"/>
                <w:szCs w:val="22"/>
                <w:highlight w:val="none"/>
              </w:rPr>
              <w:t>%</w:t>
            </w:r>
          </w:p>
        </w:tc>
        <w:tc>
          <w:tcPr>
            <w:tcW w:w="31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宋体" w:hAnsi="宋体" w:eastAsia="宋体" w:cs="宋体"/>
                <w:bCs/>
                <w:i w:val="0"/>
                <w:iCs w:val="0"/>
                <w:color w:val="auto"/>
                <w:sz w:val="24"/>
                <w:szCs w:val="22"/>
                <w:highlight w:val="none"/>
                <w:lang w:val="en-US" w:eastAsia="zh-CN"/>
              </w:rPr>
            </w:pPr>
            <w:r>
              <w:rPr>
                <w:rFonts w:hint="eastAsia" w:ascii="宋体" w:hAnsi="宋体" w:eastAsia="宋体" w:cs="宋体"/>
                <w:b w:val="0"/>
                <w:bCs w:val="0"/>
                <w:i w:val="0"/>
                <w:iCs w:val="0"/>
                <w:color w:val="auto"/>
                <w:kern w:val="0"/>
                <w:sz w:val="24"/>
                <w:szCs w:val="24"/>
                <w:highlight w:val="none"/>
                <w:lang w:val="en-US" w:eastAsia="zh-CN"/>
              </w:rPr>
              <w:t>工作人员满意度</w:t>
            </w:r>
          </w:p>
        </w:tc>
        <w:tc>
          <w:tcPr>
            <w:tcW w:w="1021" w:type="dxa"/>
            <w:gridSpan w:val="2"/>
            <w:tcBorders>
              <w:right w:val="nil"/>
            </w:tcBorders>
            <w:shd w:val="clear" w:color="auto" w:fill="auto"/>
            <w:vAlign w:val="center"/>
          </w:tcPr>
          <w:p>
            <w:pPr>
              <w:keepNext w:val="0"/>
              <w:keepLines w:val="0"/>
              <w:pageBreakBefore w:val="0"/>
              <w:widowControl w:val="0"/>
              <w:kinsoku/>
              <w:overflowPunct/>
              <w:topLinePunct w:val="0"/>
              <w:autoSpaceDE/>
              <w:autoSpaceDN/>
              <w:bidi w:val="0"/>
              <w:adjustRightInd w:val="0"/>
              <w:snapToGrid w:val="0"/>
              <w:spacing w:line="240" w:lineRule="auto"/>
              <w:ind w:firstLine="0" w:firstLineChars="0"/>
              <w:jc w:val="center"/>
              <w:rPr>
                <w:rFonts w:hint="eastAsia" w:ascii="宋体" w:hAnsi="宋体" w:eastAsia="宋体" w:cs="宋体"/>
                <w:i/>
                <w:iCs/>
                <w:color w:val="auto"/>
                <w:sz w:val="24"/>
                <w:szCs w:val="22"/>
                <w:highlight w:val="none"/>
                <w:lang w:val="en-US" w:eastAsia="zh-CN"/>
              </w:rPr>
            </w:pPr>
            <w:r>
              <w:rPr>
                <w:rFonts w:hint="eastAsia" w:ascii="宋体" w:hAnsi="宋体" w:eastAsia="宋体" w:cs="宋体"/>
                <w:i/>
                <w:iCs/>
                <w:color w:val="auto"/>
                <w:sz w:val="24"/>
                <w:szCs w:val="22"/>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838" w:type="dxa"/>
            <w:gridSpan w:val="3"/>
            <w:tcBorders>
              <w:left w:val="nil"/>
            </w:tcBorders>
            <w:shd w:val="clear" w:color="auto" w:fill="auto"/>
            <w:vAlign w:val="center"/>
          </w:tcPr>
          <w:p>
            <w:pPr>
              <w:keepNext w:val="0"/>
              <w:keepLines w:val="0"/>
              <w:pageBreakBefore w:val="0"/>
              <w:widowControl w:val="0"/>
              <w:kinsoku/>
              <w:overflowPunct/>
              <w:topLinePunct w:val="0"/>
              <w:autoSpaceDE/>
              <w:autoSpaceDN/>
              <w:bidi w:val="0"/>
              <w:spacing w:line="240" w:lineRule="auto"/>
              <w:ind w:firstLine="0" w:firstLineChars="0"/>
              <w:jc w:val="center"/>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w:t>
            </w:r>
            <w:r>
              <w:rPr>
                <w:rFonts w:hint="eastAsia" w:ascii="宋体" w:hAnsi="宋体" w:eastAsia="宋体" w:cs="宋体"/>
                <w:b/>
                <w:color w:val="auto"/>
                <w:sz w:val="24"/>
                <w:szCs w:val="22"/>
                <w:highlight w:val="none"/>
                <w:lang w:val="en-US" w:eastAsia="zh-CN"/>
              </w:rPr>
              <w:t>效益</w:t>
            </w:r>
            <w:r>
              <w:rPr>
                <w:rFonts w:hint="eastAsia" w:ascii="宋体" w:hAnsi="宋体" w:eastAsia="宋体" w:cs="宋体"/>
                <w:b/>
                <w:color w:val="auto"/>
                <w:sz w:val="24"/>
                <w:szCs w:val="22"/>
                <w:highlight w:val="none"/>
              </w:rPr>
              <w:t>”情况评级</w:t>
            </w:r>
          </w:p>
        </w:tc>
        <w:tc>
          <w:tcPr>
            <w:tcW w:w="1021" w:type="dxa"/>
            <w:gridSpan w:val="2"/>
            <w:tcBorders>
              <w:right w:val="nil"/>
            </w:tcBorders>
            <w:shd w:val="clear" w:color="auto" w:fill="auto"/>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宋体" w:hAnsi="宋体" w:eastAsia="宋体" w:cs="宋体"/>
                <w:b/>
                <w:color w:val="auto"/>
                <w:sz w:val="24"/>
                <w:szCs w:val="22"/>
                <w:highlight w:val="none"/>
                <w:lang w:val="en-US" w:eastAsia="zh-CN"/>
              </w:rPr>
            </w:pPr>
            <w:r>
              <w:rPr>
                <w:rFonts w:hint="eastAsia" w:ascii="宋体" w:hAnsi="宋体" w:eastAsia="宋体" w:cs="宋体"/>
                <w:b/>
                <w:color w:val="auto"/>
                <w:sz w:val="24"/>
                <w:szCs w:val="22"/>
                <w:highlight w:val="none"/>
                <w:lang w:val="en-US" w:eastAsia="zh-CN"/>
              </w:rPr>
              <w:t>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1.社会效益（</w:t>
      </w:r>
      <w:r>
        <w:rPr>
          <w:rFonts w:hint="eastAsia" w:cs="仿宋_GB2312"/>
          <w:b/>
          <w:bCs/>
          <w:color w:val="auto"/>
          <w:kern w:val="2"/>
          <w:sz w:val="32"/>
          <w:szCs w:val="32"/>
          <w:highlight w:val="none"/>
          <w:lang w:val="en-US" w:eastAsia="zh-CN" w:bidi="ar-SA"/>
        </w:rPr>
        <w:t>11.8</w:t>
      </w:r>
      <w:r>
        <w:rPr>
          <w:rFonts w:hint="eastAsia" w:ascii="仿宋_GB2312" w:hAnsi="仿宋_GB2312" w:eastAsia="仿宋_GB2312" w:cs="仿宋_GB2312"/>
          <w:b/>
          <w:bCs/>
          <w:color w:val="auto"/>
          <w:kern w:val="2"/>
          <w:sz w:val="32"/>
          <w:szCs w:val="32"/>
          <w:highlight w:val="none"/>
          <w:lang w:val="en-US" w:eastAsia="zh-CN" w:bidi="ar-SA"/>
        </w:rPr>
        <w:t>分）</w:t>
      </w:r>
      <w:r>
        <w:rPr>
          <w:rFonts w:hint="eastAsia" w:cs="仿宋_GB2312"/>
          <w:b/>
          <w:bCs/>
          <w:color w:val="auto"/>
          <w:kern w:val="2"/>
          <w:sz w:val="32"/>
          <w:szCs w:val="32"/>
          <w:highlight w:val="none"/>
          <w:lang w:val="en-US" w:eastAsia="zh-CN" w:bidi="ar-SA"/>
        </w:rPr>
        <w:t>（-0.2分）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社会效益指标分值12分，得分为</w:t>
      </w:r>
      <w:r>
        <w:rPr>
          <w:rFonts w:hint="eastAsia" w:cs="仿宋_GB2312"/>
          <w:color w:val="auto"/>
          <w:kern w:val="2"/>
          <w:sz w:val="32"/>
          <w:szCs w:val="32"/>
          <w:highlight w:val="none"/>
          <w:lang w:val="en-US" w:eastAsia="zh-CN" w:bidi="ar-SA"/>
        </w:rPr>
        <w:t>11.8</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省委编办2021年业务费项目</w:t>
      </w:r>
      <w:r>
        <w:rPr>
          <w:rFonts w:hint="eastAsia" w:ascii="仿宋_GB2312" w:hAnsi="仿宋_GB2312" w:eastAsia="仿宋_GB2312" w:cs="仿宋_GB2312"/>
          <w:color w:val="auto"/>
          <w:kern w:val="2"/>
          <w:sz w:val="32"/>
          <w:szCs w:val="32"/>
          <w:highlight w:val="none"/>
          <w:lang w:val="en-US" w:eastAsia="zh-CN" w:bidi="ar-SA"/>
        </w:rPr>
        <w:t>的实施在</w:t>
      </w:r>
      <w:r>
        <w:rPr>
          <w:rFonts w:hint="eastAsia" w:cs="仿宋_GB2312"/>
          <w:color w:val="auto"/>
          <w:kern w:val="2"/>
          <w:sz w:val="32"/>
          <w:szCs w:val="32"/>
          <w:highlight w:val="none"/>
          <w:lang w:val="en-US" w:eastAsia="zh-CN" w:bidi="ar-SA"/>
        </w:rPr>
        <w:t>巩固深化机构改革成果、优化编制资源配置、推进重点领域改革、提升机构编制法治意识</w:t>
      </w:r>
      <w:r>
        <w:rPr>
          <w:rFonts w:hint="eastAsia" w:ascii="仿宋_GB2312" w:hAnsi="仿宋_GB2312" w:eastAsia="仿宋_GB2312" w:cs="仿宋_GB2312"/>
          <w:color w:val="auto"/>
          <w:kern w:val="2"/>
          <w:sz w:val="32"/>
          <w:szCs w:val="32"/>
          <w:highlight w:val="none"/>
          <w:lang w:val="en-US" w:eastAsia="zh-CN" w:bidi="ar-SA"/>
        </w:rPr>
        <w:t>等方面发挥了良好的社会效益。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eastAsia" w:cs="仿宋_GB2312"/>
          <w:b/>
          <w:bCs/>
          <w:color w:val="auto"/>
          <w:kern w:val="2"/>
          <w:sz w:val="32"/>
          <w:szCs w:val="32"/>
          <w:highlight w:val="none"/>
          <w:lang w:val="en-US" w:eastAsia="zh-CN" w:bidi="ar-SA"/>
        </w:rPr>
        <w:t>巩固深化机构改革成果</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2.9</w:t>
      </w:r>
      <w:r>
        <w:rPr>
          <w:rFonts w:hint="eastAsia" w:ascii="仿宋_GB2312" w:hAnsi="仿宋_GB2312" w:eastAsia="仿宋_GB2312" w:cs="仿宋_GB2312"/>
          <w:b/>
          <w:bCs/>
          <w:color w:val="auto"/>
          <w:kern w:val="2"/>
          <w:sz w:val="32"/>
          <w:szCs w:val="32"/>
          <w:highlight w:val="none"/>
          <w:lang w:val="en-US" w:eastAsia="zh-CN" w:bidi="ar-SA"/>
        </w:rPr>
        <w:t>分）</w:t>
      </w:r>
      <w:r>
        <w:rPr>
          <w:rFonts w:hint="eastAsia" w:cs="仿宋_GB2312"/>
          <w:b/>
          <w:bCs/>
          <w:color w:val="auto"/>
          <w:kern w:val="2"/>
          <w:sz w:val="32"/>
          <w:szCs w:val="32"/>
          <w:highlight w:val="none"/>
          <w:lang w:val="en-US" w:eastAsia="zh-CN" w:bidi="ar-SA"/>
        </w:rPr>
        <w:t>（-0.1分）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巩固深化机构改革成果指标分值3分，得分为3分。</w:t>
      </w:r>
      <w:r>
        <w:rPr>
          <w:rFonts w:hint="eastAsia" w:cs="仿宋_GB2312"/>
          <w:color w:val="auto"/>
          <w:kern w:val="2"/>
          <w:sz w:val="32"/>
          <w:szCs w:val="32"/>
          <w:highlight w:val="none"/>
          <w:lang w:val="en-US" w:eastAsia="zh-CN" w:bidi="ar-SA"/>
        </w:rPr>
        <w:t>经查阅相关资料</w:t>
      </w:r>
      <w:r>
        <w:rPr>
          <w:rFonts w:hint="eastAsia" w:ascii="仿宋_GB2312" w:hAnsi="仿宋_GB2312" w:eastAsia="仿宋_GB2312" w:cs="仿宋_GB2312"/>
          <w:color w:val="auto"/>
          <w:kern w:val="2"/>
          <w:sz w:val="32"/>
          <w:szCs w:val="32"/>
          <w:highlight w:val="none"/>
          <w:lang w:val="en-US" w:eastAsia="zh-CN" w:bidi="ar-SA"/>
        </w:rPr>
        <w:t>，202</w:t>
      </w:r>
      <w:r>
        <w:rPr>
          <w:rFonts w:hint="eastAsia"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年</w:t>
      </w:r>
      <w:r>
        <w:rPr>
          <w:rFonts w:hint="eastAsia" w:cs="仿宋_GB2312"/>
          <w:color w:val="auto"/>
          <w:kern w:val="2"/>
          <w:sz w:val="32"/>
          <w:szCs w:val="32"/>
          <w:highlight w:val="none"/>
          <w:lang w:val="en-US" w:eastAsia="zh-CN" w:bidi="ar-SA"/>
        </w:rPr>
        <w:t>省委编办努力做好机构改革“后半篇文章”，着力推动从“物理变化”向“化学反应”转变。</w:t>
      </w:r>
      <w:r>
        <w:rPr>
          <w:rFonts w:hint="eastAsia" w:ascii="仿宋_GB2312" w:hAnsi="仿宋_GB2312" w:eastAsia="仿宋_GB2312" w:cs="仿宋_GB2312"/>
          <w:color w:val="auto"/>
          <w:kern w:val="2"/>
          <w:sz w:val="32"/>
          <w:szCs w:val="32"/>
          <w:highlight w:val="none"/>
          <w:lang w:val="en-US" w:eastAsia="zh-CN" w:bidi="ar-SA"/>
        </w:rPr>
        <w:t>组织开展落实机构改革方案和执行“三定”规定情况专项督查，跟踪了解市县机构改革成效和省直部门“三定”规定执行情况，对改革不彻底、执行不到位等问题，督促立行立改，推动各级各部门在职能配置、体制机制、运行管理上更加科学合理、规范高效。全面完成省市县乡四级乡村振兴机构组建工作，调整优化甘肃矿区办事处、省委政法委、省科技厅、省残联机构职能，进一步健全完善统一领导、统一管理的运行机制，推动机构设置、体制机制更好适应事业发展需要。动态调整省级政府部门权责清单，规范权力运行。项目满意度调查结果显示，项目实施对巩固深化机构改革成果的成效显著的满意度为96.3%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指标得分＝96.3%*3分＝2.9分，得分为2.9分。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优化编制资源配置</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ind w:firstLine="683"/>
        <w:textAlignment w:val="auto"/>
        <w:rPr>
          <w:rFonts w:hint="default"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优化编制资源配置指标</w:t>
      </w:r>
      <w:r>
        <w:rPr>
          <w:rFonts w:hint="eastAsia" w:ascii="仿宋_GB2312" w:hAnsi="仿宋_GB2312" w:eastAsia="仿宋_GB2312" w:cs="仿宋_GB2312"/>
          <w:color w:val="auto"/>
          <w:kern w:val="2"/>
          <w:sz w:val="32"/>
          <w:szCs w:val="32"/>
          <w:highlight w:val="none"/>
          <w:lang w:val="en-US" w:eastAsia="zh-CN" w:bidi="ar-SA"/>
        </w:rPr>
        <w:t>分值</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w:t>
      </w:r>
      <w:r>
        <w:rPr>
          <w:rFonts w:hint="eastAsia" w:ascii="仿宋_GB2312" w:hAnsi="仿宋_GB2312" w:eastAsia="仿宋_GB2312" w:cs="仿宋_GB2312"/>
          <w:color w:val="auto"/>
          <w:kern w:val="2"/>
          <w:sz w:val="32"/>
          <w:szCs w:val="32"/>
          <w:highlight w:val="none"/>
          <w:lang w:val="en-US" w:eastAsia="zh-CN" w:bidi="ar-SA"/>
        </w:rPr>
        <w:t>相关资料，</w:t>
      </w:r>
      <w:r>
        <w:rPr>
          <w:rFonts w:hint="eastAsia" w:ascii="仿宋_GB2312" w:hAnsi="仿宋_GB2312" w:eastAsia="仿宋_GB2312" w:cs="仿宋_GB2312"/>
          <w:szCs w:val="32"/>
          <w:highlight w:val="none"/>
          <w:lang w:val="en-US" w:eastAsia="zh-CN"/>
        </w:rPr>
        <w:t>2021年，省委编办</w:t>
      </w:r>
      <w:r>
        <w:rPr>
          <w:rFonts w:hint="eastAsia" w:ascii="仿宋_GB2312" w:hAnsi="仿宋_GB2312" w:eastAsia="仿宋_GB2312" w:cs="仿宋_GB2312"/>
          <w:sz w:val="32"/>
          <w:szCs w:val="32"/>
        </w:rPr>
        <w:t>围绕服务数字政府、“技能甘肃”建设，报请中央编办批复设立省大数据管理局、省大数据中心、兰州石化职业技术大学。立足部门事业发展需要，加大对文物保护和考古、黄河流域高质量发展、统一战线、兰白两区建设、军民融合发展、党员干部教育、法治政府研究、法院督察、教育卫生等方面的机构编制保障力度，确保机构编制资源同向配置。支持和服务市县经济社会发展，批</w:t>
      </w:r>
      <w:r>
        <w:rPr>
          <w:rFonts w:hint="eastAsia" w:ascii="仿宋_GB2312" w:hAnsi="仿宋_GB2312" w:eastAsia="仿宋_GB2312" w:cs="仿宋_GB2312"/>
          <w:b w:val="0"/>
          <w:bCs w:val="0"/>
          <w:color w:val="auto"/>
          <w:kern w:val="2"/>
          <w:sz w:val="32"/>
          <w:szCs w:val="32"/>
          <w:highlight w:val="none"/>
          <w:lang w:val="en-US" w:eastAsia="zh-CN" w:bidi="ar-SA"/>
        </w:rPr>
        <w:t>复设立兰州市自然资源技术中心、白银矿冶职业技术学院、庆阳职业技术学院等机构，为新设的兰州新区甘南实验中学调剂增加事业编制440名。扎实做好新一轮中小学教职工编制核定工作，推动全面达标。积极助力“人才强省”战略实施，向省直高校科研院所下达引进高层次和急需紧缺人才编制219名。配合组织人事、退役军人等部门做好公务员（参公人员）招录、优秀大学毕业生选调、军转干部安置及事业干部招聘等工作。完成全省行政编制清查和2020年年报统计工作。出台机构编制统计年报审核和数据管理制度，规范实名制业务办理流程，形成用制度管理、用标准规范的实名制工作机制。优化事业单位法人登记服务，畅通统一社会信用代码共享渠道，开展事业单位法人“双随机”抽查，加强事中事后监管。</w:t>
      </w:r>
      <w:r>
        <w:rPr>
          <w:rFonts w:hint="eastAsia" w:cs="仿宋_GB2312"/>
          <w:color w:val="auto"/>
          <w:kern w:val="2"/>
          <w:sz w:val="32"/>
          <w:szCs w:val="32"/>
          <w:highlight w:val="none"/>
          <w:lang w:val="en-US" w:eastAsia="zh-CN" w:bidi="ar-SA"/>
        </w:rPr>
        <w:t>项目满意度调查结果显示，项目实施对优化编制资源配置的成效显著的满意度为100%。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根据指标体系评分标准，项目实施后，</w:t>
      </w:r>
      <w:r>
        <w:rPr>
          <w:rFonts w:hint="eastAsia" w:cs="仿宋_GB2312"/>
          <w:color w:val="auto"/>
          <w:kern w:val="2"/>
          <w:sz w:val="32"/>
          <w:szCs w:val="32"/>
          <w:highlight w:val="none"/>
          <w:lang w:val="en-US" w:eastAsia="zh-CN" w:bidi="ar-SA"/>
        </w:rPr>
        <w:t>进一步</w:t>
      </w:r>
      <w:r>
        <w:rPr>
          <w:rFonts w:hint="eastAsia" w:ascii="仿宋_GB2312" w:hAnsi="仿宋_GB2312" w:eastAsia="仿宋_GB2312" w:cs="仿宋_GB2312"/>
          <w:color w:val="auto"/>
          <w:kern w:val="2"/>
          <w:sz w:val="32"/>
          <w:szCs w:val="32"/>
          <w:highlight w:val="none"/>
          <w:lang w:val="en-US" w:eastAsia="zh-CN" w:bidi="ar-SA"/>
        </w:rPr>
        <w:t>优化</w:t>
      </w:r>
      <w:r>
        <w:rPr>
          <w:rFonts w:hint="eastAsia" w:cs="仿宋_GB2312"/>
          <w:color w:val="auto"/>
          <w:kern w:val="2"/>
          <w:sz w:val="32"/>
          <w:szCs w:val="32"/>
          <w:highlight w:val="none"/>
          <w:lang w:val="en-US" w:eastAsia="zh-CN" w:bidi="ar-SA"/>
        </w:rPr>
        <w:t>了我省</w:t>
      </w:r>
      <w:r>
        <w:rPr>
          <w:rFonts w:hint="eastAsia" w:ascii="仿宋_GB2312" w:hAnsi="仿宋_GB2312" w:eastAsia="仿宋_GB2312" w:cs="仿宋_GB2312"/>
          <w:color w:val="auto"/>
          <w:kern w:val="2"/>
          <w:sz w:val="32"/>
          <w:szCs w:val="32"/>
          <w:highlight w:val="none"/>
          <w:lang w:val="en-US" w:eastAsia="zh-CN" w:bidi="ar-SA"/>
        </w:rPr>
        <w:t>编制资源</w:t>
      </w:r>
      <w:r>
        <w:rPr>
          <w:rFonts w:hint="eastAsia" w:cs="仿宋_GB2312"/>
          <w:color w:val="auto"/>
          <w:kern w:val="2"/>
          <w:sz w:val="32"/>
          <w:szCs w:val="32"/>
          <w:highlight w:val="none"/>
          <w:lang w:val="en-US" w:eastAsia="zh-CN" w:bidi="ar-SA"/>
        </w:rPr>
        <w:t>的有效</w:t>
      </w:r>
      <w:r>
        <w:rPr>
          <w:rFonts w:hint="eastAsia" w:ascii="仿宋_GB2312" w:hAnsi="仿宋_GB2312" w:eastAsia="仿宋_GB2312" w:cs="仿宋_GB2312"/>
          <w:color w:val="auto"/>
          <w:kern w:val="2"/>
          <w:sz w:val="32"/>
          <w:szCs w:val="32"/>
          <w:highlight w:val="none"/>
          <w:lang w:val="en-US" w:eastAsia="zh-CN" w:bidi="ar-SA"/>
        </w:rPr>
        <w:t>配置。指标得分</w:t>
      </w:r>
      <w:r>
        <w:rPr>
          <w:rFonts w:hint="eastAsia" w:cs="仿宋_GB2312"/>
          <w:color w:val="auto"/>
          <w:kern w:val="2"/>
          <w:sz w:val="32"/>
          <w:szCs w:val="32"/>
          <w:highlight w:val="none"/>
          <w:lang w:val="en-US" w:eastAsia="zh-CN" w:bidi="ar-SA"/>
        </w:rPr>
        <w:t>为3</w:t>
      </w:r>
      <w:r>
        <w:rPr>
          <w:rFonts w:hint="eastAsia" w:ascii="仿宋_GB2312" w:hAnsi="仿宋_GB2312" w:eastAsia="仿宋_GB2312" w:cs="仿宋_GB2312"/>
          <w:color w:val="auto"/>
          <w:kern w:val="2"/>
          <w:sz w:val="32"/>
          <w:szCs w:val="32"/>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推进重点领域改革</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2.9</w:t>
      </w:r>
      <w:r>
        <w:rPr>
          <w:rFonts w:hint="eastAsia" w:ascii="仿宋_GB2312" w:hAnsi="仿宋_GB2312" w:eastAsia="仿宋_GB2312" w:cs="仿宋_GB2312"/>
          <w:b/>
          <w:bCs/>
          <w:color w:val="auto"/>
          <w:kern w:val="2"/>
          <w:sz w:val="32"/>
          <w:szCs w:val="32"/>
          <w:highlight w:val="none"/>
          <w:lang w:val="en-US" w:eastAsia="zh-CN" w:bidi="ar-SA"/>
        </w:rPr>
        <w:t>分）</w:t>
      </w:r>
      <w:r>
        <w:rPr>
          <w:rFonts w:hint="eastAsia" w:cs="仿宋_GB2312"/>
          <w:b/>
          <w:bCs/>
          <w:color w:val="auto"/>
          <w:kern w:val="2"/>
          <w:sz w:val="32"/>
          <w:szCs w:val="32"/>
          <w:highlight w:val="none"/>
          <w:lang w:val="en-US" w:eastAsia="zh-CN" w:bidi="ar-SA"/>
        </w:rPr>
        <w:t>（-0.1分）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推进重点领域改革指标分值</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经查阅相关资料，2021年省委编办聚焦影响和制约发展的体制机制问题，加大改革攻坚力度，在重要领域和关键环节取得积极进展。全面完成120家开发区管理机构整合规范工作，明确开发区管理机构性质、规格、人员编制规模和领导职数，精简优化内部管理架构，构建设置精干、职能清晰、运行高效的组织体系。深化基层管理体制改革，指导各地制定赋权清单，确保下放乡镇（街道）权限接住管好。配合推进应急管理综合行政执法改革，督促完成监管执法职责整合、执法队伍组建工作。巩固经营类事业单位改革成果，完成兰州饭店转企改制工作，撤销市县27家处级经营类事业单位。有序推进党政机关和国有企事业单位培训疗养机构改革。深入研究我省疾病预防控制体系改革、国防动员体制改革、国家公园建设涉及的机构职能问题，做好机构组建方案储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项目满意度调查结果显示，项目实施对推进重点领域改革的成效显著的满意度为96.3%。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w:t>
      </w:r>
      <w:r>
        <w:rPr>
          <w:rFonts w:hint="eastAsia" w:cs="仿宋_GB2312"/>
          <w:color w:val="auto"/>
          <w:kern w:val="2"/>
          <w:sz w:val="32"/>
          <w:szCs w:val="32"/>
          <w:highlight w:val="none"/>
          <w:lang w:val="en-US" w:eastAsia="zh-CN" w:bidi="ar-SA"/>
        </w:rPr>
        <w:t>指标得分＝96.3%*3分＝2.9分，得分为2.9分。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4</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提升机构编制法治意识</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提升机构编制法治意识指标分值3分，得分为3分。经查阅相关资料，2021年，省委编办深入贯彻《中国共产党机构编制工作条例》，报请省委印发《中共甘肃省委机构编制管理规定（试行）》（以下简称《规定》）。《规定》出台后，通过刊发《答记者问》、召开新闻发布会、组织专题培训、印发通知、制作口袋书等形式，第一时间做好学习宣传和政策解读工作。扎实推进机构编制法规制度体系建设，制定实施方案，召开会议部署推进重点任务，主要做法在《甘肃日报》刊载。组织开展机构编制法规制度、规范性文件及标准清理工作，针对机构编制请示批复事项工作程序不规范、报送主体不明确等问题，健全工作机制，规范日常管理。严格执行机构编制动议、论证、审议决定、组织实施有关规定，做到程序严密、论证充分、科学规范。认真落实编委工作规则、编办工作细则，严格执行机构编制审批制度，涉及职能调整以及机构、编制和领导职数增减的，报省委组织部审核后按程序审批。抓好《机构编制监督检查工作办法》的贯彻落实，加强监督执纪，在省直部门开展机构编制条条干预问题自查自纠工作，及时纠正5件违规问题，有力制止和整治省直部门干预市县机构编制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根据指标体系评分标准，项目实施后，使我省机构编制法制意识得到了提升。</w:t>
      </w:r>
      <w:r>
        <w:rPr>
          <w:rFonts w:hint="eastAsia" w:ascii="仿宋_GB2312" w:hAnsi="仿宋_GB2312" w:eastAsia="仿宋_GB2312" w:cs="仿宋_GB2312"/>
          <w:color w:val="auto"/>
          <w:kern w:val="2"/>
          <w:sz w:val="32"/>
          <w:szCs w:val="32"/>
          <w:highlight w:val="none"/>
          <w:lang w:val="en-US" w:eastAsia="zh-CN" w:bidi="ar-SA"/>
        </w:rPr>
        <w:t>指标得分</w:t>
      </w:r>
      <w:r>
        <w:rPr>
          <w:rFonts w:hint="eastAsia" w:cs="仿宋_GB2312"/>
          <w:color w:val="auto"/>
          <w:kern w:val="2"/>
          <w:sz w:val="32"/>
          <w:szCs w:val="32"/>
          <w:highlight w:val="none"/>
          <w:lang w:val="en-US" w:eastAsia="zh-CN" w:bidi="ar-SA"/>
        </w:rPr>
        <w:t>为3</w:t>
      </w:r>
      <w:r>
        <w:rPr>
          <w:rFonts w:hint="eastAsia" w:ascii="仿宋_GB2312" w:hAnsi="仿宋_GB2312" w:eastAsia="仿宋_GB2312" w:cs="仿宋_GB2312"/>
          <w:color w:val="auto"/>
          <w:kern w:val="2"/>
          <w:sz w:val="32"/>
          <w:szCs w:val="32"/>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.可持续影响（</w:t>
      </w:r>
      <w:r>
        <w:rPr>
          <w:rFonts w:hint="eastAsia" w:cs="仿宋_GB2312"/>
          <w:b/>
          <w:bCs/>
          <w:color w:val="auto"/>
          <w:kern w:val="2"/>
          <w:sz w:val="32"/>
          <w:szCs w:val="32"/>
          <w:highlight w:val="none"/>
          <w:lang w:val="en-US" w:eastAsia="zh-CN" w:bidi="ar-SA"/>
        </w:rPr>
        <w:t>9</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可持续影响指标分值</w:t>
      </w:r>
      <w:r>
        <w:rPr>
          <w:rFonts w:hint="eastAsia" w:cs="仿宋_GB2312"/>
          <w:b w:val="0"/>
          <w:bCs w:val="0"/>
          <w:color w:val="auto"/>
          <w:kern w:val="2"/>
          <w:sz w:val="32"/>
          <w:szCs w:val="32"/>
          <w:highlight w:val="none"/>
          <w:lang w:val="en-US" w:eastAsia="zh-CN" w:bidi="ar-SA"/>
        </w:rPr>
        <w:t>9</w:t>
      </w:r>
      <w:r>
        <w:rPr>
          <w:rFonts w:hint="eastAsia" w:ascii="仿宋_GB2312" w:hAnsi="仿宋_GB2312" w:eastAsia="仿宋_GB2312" w:cs="仿宋_GB2312"/>
          <w:b w:val="0"/>
          <w:bCs w:val="0"/>
          <w:color w:val="auto"/>
          <w:kern w:val="2"/>
          <w:sz w:val="32"/>
          <w:szCs w:val="32"/>
          <w:highlight w:val="none"/>
          <w:lang w:val="en-US" w:eastAsia="zh-CN" w:bidi="ar-SA"/>
        </w:rPr>
        <w:t>分，得</w:t>
      </w:r>
      <w:r>
        <w:rPr>
          <w:rFonts w:hint="eastAsia" w:ascii="仿宋_GB2312" w:hAnsi="仿宋_GB2312" w:eastAsia="仿宋_GB2312" w:cs="仿宋_GB2312"/>
          <w:color w:val="auto"/>
          <w:kern w:val="2"/>
          <w:sz w:val="32"/>
          <w:szCs w:val="32"/>
          <w:highlight w:val="none"/>
          <w:lang w:val="en-US" w:eastAsia="zh-CN" w:bidi="ar-SA"/>
        </w:rPr>
        <w:t>分为</w:t>
      </w:r>
      <w:r>
        <w:rPr>
          <w:rFonts w:hint="eastAsia" w:cs="仿宋_GB2312"/>
          <w:color w:val="auto"/>
          <w:kern w:val="2"/>
          <w:sz w:val="32"/>
          <w:szCs w:val="32"/>
          <w:highlight w:val="none"/>
          <w:lang w:val="en-US" w:eastAsia="zh-CN" w:bidi="ar-SA"/>
        </w:rPr>
        <w:t>9</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省委编办2021年业务费项目</w:t>
      </w:r>
      <w:r>
        <w:rPr>
          <w:rFonts w:hint="eastAsia" w:ascii="仿宋_GB2312" w:hAnsi="仿宋_GB2312" w:eastAsia="仿宋_GB2312" w:cs="仿宋_GB2312"/>
          <w:color w:val="auto"/>
          <w:kern w:val="2"/>
          <w:sz w:val="32"/>
          <w:szCs w:val="32"/>
          <w:highlight w:val="none"/>
          <w:lang w:val="en-US" w:eastAsia="zh-CN" w:bidi="ar-SA"/>
        </w:rPr>
        <w:t>的实施对</w:t>
      </w:r>
      <w:r>
        <w:rPr>
          <w:rFonts w:hint="eastAsia" w:cs="仿宋_GB2312"/>
          <w:color w:val="auto"/>
          <w:kern w:val="2"/>
          <w:sz w:val="32"/>
          <w:szCs w:val="32"/>
          <w:highlight w:val="none"/>
          <w:lang w:val="en-US" w:eastAsia="zh-CN" w:bidi="ar-SA"/>
        </w:rPr>
        <w:t>提升机构编制管理服务水平</w:t>
      </w:r>
      <w:r>
        <w:rPr>
          <w:rFonts w:hint="eastAsia" w:ascii="仿宋_GB2312" w:hAnsi="仿宋_GB2312" w:eastAsia="仿宋_GB2312" w:cs="仿宋_GB2312"/>
          <w:color w:val="auto"/>
          <w:kern w:val="2"/>
          <w:sz w:val="32"/>
          <w:szCs w:val="32"/>
          <w:highlight w:val="none"/>
          <w:lang w:val="en-US" w:eastAsia="zh-CN" w:bidi="ar-SA"/>
        </w:rPr>
        <w:t>，</w:t>
      </w:r>
      <w:r>
        <w:rPr>
          <w:rFonts w:hint="eastAsia" w:cs="仿宋_GB2312"/>
          <w:color w:val="auto"/>
          <w:kern w:val="2"/>
          <w:sz w:val="32"/>
          <w:szCs w:val="32"/>
          <w:highlight w:val="none"/>
          <w:lang w:val="en-US" w:eastAsia="zh-CN" w:bidi="ar-SA"/>
        </w:rPr>
        <w:t>建立健全部门协作机制</w:t>
      </w:r>
      <w:r>
        <w:rPr>
          <w:rFonts w:hint="eastAsia" w:ascii="仿宋_GB2312" w:hAnsi="仿宋_GB2312" w:eastAsia="仿宋_GB2312" w:cs="仿宋_GB2312"/>
          <w:color w:val="auto"/>
          <w:kern w:val="2"/>
          <w:sz w:val="32"/>
          <w:szCs w:val="32"/>
          <w:highlight w:val="none"/>
          <w:lang w:val="en-US" w:eastAsia="zh-CN" w:bidi="ar-SA"/>
        </w:rPr>
        <w:t>，</w:t>
      </w:r>
      <w:r>
        <w:rPr>
          <w:rFonts w:hint="eastAsia" w:cs="仿宋_GB2312"/>
          <w:color w:val="auto"/>
          <w:kern w:val="2"/>
          <w:sz w:val="32"/>
          <w:szCs w:val="32"/>
          <w:highlight w:val="none"/>
          <w:lang w:val="en-US" w:eastAsia="zh-CN" w:bidi="ar-SA"/>
        </w:rPr>
        <w:t>建立信息共享机制</w:t>
      </w:r>
      <w:r>
        <w:rPr>
          <w:rFonts w:hint="eastAsia" w:ascii="仿宋_GB2312" w:hAnsi="仿宋_GB2312" w:eastAsia="仿宋_GB2312" w:cs="仿宋_GB2312"/>
          <w:color w:val="auto"/>
          <w:kern w:val="2"/>
          <w:sz w:val="32"/>
          <w:szCs w:val="32"/>
          <w:highlight w:val="none"/>
          <w:lang w:val="en-US" w:eastAsia="zh-CN" w:bidi="ar-SA"/>
        </w:rPr>
        <w:t>可持续影响</w:t>
      </w:r>
      <w:r>
        <w:rPr>
          <w:rFonts w:hint="eastAsia" w:cs="仿宋_GB2312"/>
          <w:b w:val="0"/>
          <w:bCs w:val="0"/>
          <w:color w:val="auto"/>
          <w:kern w:val="2"/>
          <w:sz w:val="32"/>
          <w:szCs w:val="32"/>
          <w:highlight w:val="none"/>
          <w:lang w:val="en-US" w:eastAsia="zh-CN" w:bidi="ar-SA"/>
        </w:rPr>
        <w:t>作用积极。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（1）提升机构编制管理服务水平（</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提升机构编制管理服务水平指标分值</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通过项目实施项目，甘肃省委机构编制委员会办公室通过一系列措施，提升了干部机构编制管理服务水平。一是持续深化《中国共产党机构编制工作条例》学习，报请省委印发了《中共甘肃省委机构编制管理规定（试行）》，推动《条例》有效贯彻落实。二是加强和改进调查研究，围绕机构编制难点和社会关注热点问题，深入甘肃矿区、张掖、陇南开展机构职能优化、国家公园机构设置研究，为科学决策提供有力支撑，向中央编办上报地级市职能定位课题研究成果。三是出台</w:t>
      </w:r>
      <w:r>
        <w:rPr>
          <w:rFonts w:hint="eastAsia" w:ascii="仿宋_GB2312" w:hAnsi="仿宋_GB2312" w:eastAsia="仿宋_GB2312" w:cs="仿宋_GB2312"/>
          <w:b w:val="0"/>
          <w:bCs w:val="0"/>
          <w:color w:val="auto"/>
          <w:kern w:val="0"/>
          <w:sz w:val="32"/>
          <w:szCs w:val="32"/>
          <w:highlight w:val="none"/>
          <w:lang w:val="en-US" w:eastAsia="zh-CN" w:bidi="ar-SA"/>
        </w:rPr>
        <w:t>省委编办《</w:t>
      </w:r>
      <w:r>
        <w:rPr>
          <w:rFonts w:hint="eastAsia" w:ascii="仿宋_GB2312" w:hAnsi="仿宋_GB2312" w:cs="仿宋_GB2312"/>
          <w:b w:val="0"/>
          <w:bCs w:val="0"/>
          <w:color w:val="auto"/>
          <w:kern w:val="0"/>
          <w:sz w:val="32"/>
          <w:szCs w:val="32"/>
          <w:highlight w:val="none"/>
          <w:lang w:val="en-US" w:eastAsia="zh-CN" w:bidi="ar-SA"/>
        </w:rPr>
        <w:t>机构编制</w:t>
      </w:r>
      <w:r>
        <w:rPr>
          <w:rFonts w:hint="eastAsia" w:ascii="仿宋_GB2312" w:hAnsi="仿宋_GB2312" w:eastAsia="仿宋_GB2312" w:cs="仿宋_GB2312"/>
          <w:b w:val="0"/>
          <w:bCs w:val="0"/>
          <w:color w:val="auto"/>
          <w:kern w:val="0"/>
          <w:sz w:val="32"/>
          <w:szCs w:val="32"/>
          <w:highlight w:val="none"/>
          <w:lang w:val="en-US" w:eastAsia="zh-CN" w:bidi="ar-SA"/>
        </w:rPr>
        <w:t>统计年报审核和机构编制数据管理制度》</w:t>
      </w:r>
      <w:r>
        <w:rPr>
          <w:rFonts w:hint="eastAsia" w:cs="仿宋_GB2312"/>
          <w:color w:val="auto"/>
          <w:kern w:val="2"/>
          <w:sz w:val="32"/>
          <w:szCs w:val="32"/>
          <w:highlight w:val="none"/>
          <w:lang w:val="en-US" w:eastAsia="zh-CN" w:bidi="ar-SA"/>
        </w:rPr>
        <w:t>，规范实名制业务办理流程，形成用制度管理、用标准规范的实名制工作机制。四是优化事业单位法人登记服务，畅通统一社会信用代码共享渠道，开展事业单位法人“双随机”抽查，加强事中事后监管。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根据指标体系评分标准，项目实施后，对提升干部机构编制管理服务水平可持续影响作用明显。指标得分为3分。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2</w:t>
      </w:r>
      <w:r>
        <w:rPr>
          <w:rFonts w:hint="eastAsia" w:ascii="仿宋_GB2312" w:hAnsi="仿宋_GB2312" w:eastAsia="仿宋_GB2312" w:cs="仿宋_GB2312"/>
          <w:b/>
          <w:bCs/>
          <w:color w:val="auto"/>
          <w:kern w:val="2"/>
          <w:sz w:val="32"/>
          <w:szCs w:val="32"/>
          <w:highlight w:val="none"/>
          <w:lang w:val="en-US" w:eastAsia="zh-CN" w:bidi="ar-SA"/>
        </w:rPr>
        <w:t>）建立健全部门协作机制（</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建立健全部门协作机制指标分值</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2021年，省委编办强化与纪检监察机关、巡视机构和组织人事等部门的协作配合，开展情况通报、信息共享、线索移送、整改反馈等工作，派员参加选人用人专项检查，进一步提升机构编制监督检查质量。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根据指标体系评分标准，项目实施后，对建立健全部门协作机制可持续影响作用明显。指标得分为3分。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建立信息共享机制</w:t>
      </w:r>
      <w:r>
        <w:rPr>
          <w:rFonts w:hint="eastAsia" w:ascii="仿宋_GB2312" w:hAnsi="仿宋_GB2312" w:eastAsia="仿宋_GB2312" w:cs="仿宋_GB2312"/>
          <w:b/>
          <w:bCs/>
          <w:color w:val="auto"/>
          <w:kern w:val="2"/>
          <w:sz w:val="32"/>
          <w:szCs w:val="32"/>
          <w:highlight w:val="none"/>
          <w:lang w:val="en-US" w:eastAsia="zh-CN" w:bidi="ar-SA"/>
        </w:rPr>
        <w:t>（</w:t>
      </w: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建立信息共享机制指标分值</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分，得分为</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分。</w:t>
      </w:r>
      <w:r>
        <w:rPr>
          <w:rFonts w:hint="eastAsia" w:cs="仿宋_GB2312"/>
          <w:color w:val="auto"/>
          <w:kern w:val="2"/>
          <w:sz w:val="32"/>
          <w:szCs w:val="32"/>
          <w:highlight w:val="none"/>
          <w:lang w:val="en-US" w:eastAsia="zh-CN" w:bidi="ar-SA"/>
        </w:rPr>
        <w:t>2021年，省委编办通过项目实施，一是在建立健全部门协作机制的基础上，与相关部门开展情况通报、信息共享、线索移送、整改反馈等工作，借势借力推动机构编制监督检查工作；二是不断优化建设机构编制实名制管理系统，完善机构编制实名制管理，加快建设机构编制管理同组织人事、财政预算管理共享的信息平台，逐步实现部门间信息数据共享共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根据指标体系评分标准，项目实施后，对建立信息共享机制可持续影响作用明显。指标得分为3分。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cs="仿宋_GB2312"/>
          <w:b/>
          <w:bCs/>
          <w:color w:val="auto"/>
          <w:kern w:val="2"/>
          <w:sz w:val="32"/>
          <w:szCs w:val="32"/>
          <w:highlight w:val="none"/>
          <w:lang w:val="en-US" w:eastAsia="zh-CN" w:bidi="ar-SA"/>
        </w:rPr>
        <w:t>3</w:t>
      </w:r>
      <w:r>
        <w:rPr>
          <w:rFonts w:hint="eastAsia" w:ascii="仿宋_GB2312" w:hAnsi="仿宋_GB2312" w:eastAsia="仿宋_GB2312" w:cs="仿宋_GB2312"/>
          <w:b/>
          <w:bCs/>
          <w:color w:val="auto"/>
          <w:kern w:val="2"/>
          <w:sz w:val="32"/>
          <w:szCs w:val="32"/>
          <w:highlight w:val="none"/>
          <w:lang w:val="en-US" w:eastAsia="zh-CN" w:bidi="ar-SA"/>
        </w:rPr>
        <w:t>.满意度（5分）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满意度指标分值5分，得分为5分。根据项目评价需要，结合</w:t>
      </w:r>
      <w:r>
        <w:rPr>
          <w:rFonts w:hint="eastAsia" w:cs="仿宋_GB2312"/>
          <w:color w:val="auto"/>
          <w:kern w:val="2"/>
          <w:sz w:val="32"/>
          <w:szCs w:val="32"/>
          <w:highlight w:val="none"/>
          <w:lang w:val="en-US" w:eastAsia="zh-CN" w:bidi="ar-SA"/>
        </w:rPr>
        <w:t>省委编办业务费项目实施情况</w:t>
      </w:r>
      <w:r>
        <w:rPr>
          <w:rFonts w:hint="eastAsia" w:ascii="仿宋_GB2312" w:hAnsi="仿宋_GB2312" w:eastAsia="仿宋_GB2312" w:cs="仿宋_GB2312"/>
          <w:color w:val="auto"/>
          <w:kern w:val="2"/>
          <w:sz w:val="32"/>
          <w:szCs w:val="32"/>
          <w:highlight w:val="none"/>
          <w:lang w:val="en-US" w:eastAsia="zh-CN" w:bidi="ar-SA"/>
        </w:rPr>
        <w:t>，项目评价组通过微信小程序开展了“</w:t>
      </w:r>
      <w:r>
        <w:rPr>
          <w:rFonts w:hint="eastAsia" w:cs="仿宋_GB2312"/>
          <w:color w:val="auto"/>
          <w:kern w:val="2"/>
          <w:sz w:val="32"/>
          <w:szCs w:val="32"/>
          <w:highlight w:val="none"/>
          <w:lang w:val="en-US" w:eastAsia="zh-CN" w:bidi="ar-SA"/>
        </w:rPr>
        <w:t>省委编办2021年业务费项目</w:t>
      </w:r>
      <w:r>
        <w:rPr>
          <w:rFonts w:hint="eastAsia" w:ascii="仿宋_GB2312" w:hAnsi="仿宋_GB2312" w:eastAsia="仿宋_GB2312" w:cs="仿宋_GB2312"/>
          <w:color w:val="auto"/>
          <w:kern w:val="2"/>
          <w:sz w:val="32"/>
          <w:szCs w:val="32"/>
          <w:highlight w:val="none"/>
          <w:lang w:val="en-US" w:eastAsia="zh-CN" w:bidi="ar-SA"/>
        </w:rPr>
        <w:t>实施满意度”的问卷调查，抽取一定数量的</w:t>
      </w:r>
      <w:r>
        <w:rPr>
          <w:rFonts w:hint="eastAsia" w:cs="仿宋_GB2312"/>
          <w:color w:val="auto"/>
          <w:kern w:val="2"/>
          <w:sz w:val="32"/>
          <w:szCs w:val="32"/>
          <w:highlight w:val="none"/>
          <w:lang w:val="en-US" w:eastAsia="zh-CN" w:bidi="ar-SA"/>
        </w:rPr>
        <w:t>全省机构编制工作人员和机关事业单位工作人员</w:t>
      </w:r>
      <w:r>
        <w:rPr>
          <w:rFonts w:hint="eastAsia" w:ascii="仿宋_GB2312" w:hAnsi="仿宋_GB2312" w:eastAsia="仿宋_GB2312" w:cs="仿宋_GB2312"/>
          <w:color w:val="auto"/>
          <w:kern w:val="2"/>
          <w:sz w:val="32"/>
          <w:szCs w:val="32"/>
          <w:highlight w:val="none"/>
          <w:lang w:val="en-US" w:eastAsia="zh-CN" w:bidi="ar-SA"/>
        </w:rPr>
        <w:t>随机进行问卷调查。主要调查对</w:t>
      </w:r>
      <w:r>
        <w:rPr>
          <w:rFonts w:hint="eastAsia" w:cs="仿宋_GB2312"/>
          <w:color w:val="auto"/>
          <w:kern w:val="2"/>
          <w:sz w:val="32"/>
          <w:szCs w:val="32"/>
          <w:highlight w:val="none"/>
          <w:lang w:val="en-US" w:eastAsia="zh-CN" w:bidi="ar-SA"/>
        </w:rPr>
        <w:t>省委编办业务费项目资金</w:t>
      </w:r>
      <w:r>
        <w:rPr>
          <w:rFonts w:hint="eastAsia" w:ascii="仿宋_GB2312" w:hAnsi="仿宋_GB2312" w:eastAsia="仿宋_GB2312" w:cs="仿宋_GB2312"/>
          <w:color w:val="auto"/>
          <w:kern w:val="2"/>
          <w:sz w:val="32"/>
          <w:szCs w:val="32"/>
          <w:highlight w:val="none"/>
          <w:lang w:val="en-US" w:eastAsia="zh-CN" w:bidi="ar-SA"/>
        </w:rPr>
        <w:t>使用整体效果的满意情况。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cs="仿宋_GB2312"/>
          <w:b/>
          <w:bCs/>
          <w:color w:val="auto"/>
          <w:kern w:val="2"/>
          <w:sz w:val="32"/>
          <w:szCs w:val="32"/>
          <w:highlight w:val="none"/>
          <w:lang w:val="en-US" w:eastAsia="zh-CN" w:bidi="ar-SA"/>
        </w:rPr>
        <w:t>工作人员</w:t>
      </w:r>
      <w:r>
        <w:rPr>
          <w:rFonts w:hint="eastAsia" w:ascii="仿宋_GB2312" w:hAnsi="仿宋_GB2312" w:eastAsia="仿宋_GB2312" w:cs="仿宋_GB2312"/>
          <w:b/>
          <w:bCs/>
          <w:color w:val="auto"/>
          <w:kern w:val="2"/>
          <w:sz w:val="32"/>
          <w:szCs w:val="32"/>
          <w:highlight w:val="none"/>
          <w:lang w:val="en-US" w:eastAsia="zh-CN" w:bidi="ar-SA"/>
        </w:rPr>
        <w:t>满意度（5分）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工作人员</w:t>
      </w:r>
      <w:r>
        <w:rPr>
          <w:rFonts w:hint="eastAsia" w:ascii="仿宋_GB2312" w:hAnsi="仿宋_GB2312" w:eastAsia="仿宋_GB2312" w:cs="仿宋_GB2312"/>
          <w:color w:val="auto"/>
          <w:kern w:val="2"/>
          <w:sz w:val="32"/>
          <w:szCs w:val="32"/>
          <w:highlight w:val="none"/>
          <w:lang w:val="en-US" w:eastAsia="zh-CN" w:bidi="ar-SA"/>
        </w:rPr>
        <w:t>满意度指标分值5分，得分为5分。</w:t>
      </w:r>
      <w:r>
        <w:rPr>
          <w:rFonts w:hint="eastAsia" w:cs="仿宋_GB2312"/>
          <w:color w:val="auto"/>
          <w:kern w:val="2"/>
          <w:sz w:val="32"/>
          <w:szCs w:val="32"/>
          <w:highlight w:val="none"/>
          <w:lang w:val="en-US" w:eastAsia="zh-CN" w:bidi="ar-SA"/>
        </w:rPr>
        <w:t>根据对省委编办工作人员的问卷调查，对回收的有效调查问卷统计结果分析，省委编办工作人员对2021年业务费项目整体实施效果非常满意的占85.19%，对2021年业务费项目整体实施效果满意的占14.81%。总体分析结果显示：省委编办工作人员对2021年业务费项目整体实施效果的满意度为100%。</w:t>
      </w:r>
    </w:p>
    <w:p>
      <w:pPr>
        <w:bidi w:val="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drawing>
          <wp:inline distT="0" distB="0" distL="114300" distR="114300">
            <wp:extent cx="4572000" cy="274320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图</w:t>
      </w:r>
      <w:r>
        <w:rPr>
          <w:rFonts w:hint="eastAsia" w:asciiTheme="minorEastAsia" w:hAnsiTheme="minorEastAsia" w:eastAsiaTheme="minorEastAsia" w:cstheme="minorEastAsia"/>
          <w:b/>
          <w:bCs/>
          <w:sz w:val="24"/>
          <w:lang w:val="en-US" w:eastAsia="zh-CN"/>
        </w:rPr>
        <w:t>2</w:t>
      </w:r>
      <w:r>
        <w:rPr>
          <w:rFonts w:hint="eastAsia" w:asciiTheme="minorEastAsia" w:hAnsiTheme="minorEastAsia" w:eastAsiaTheme="minorEastAsia" w:cstheme="minorEastAsia"/>
          <w:b/>
          <w:bCs/>
          <w:sz w:val="24"/>
        </w:rPr>
        <w:t xml:space="preserve">  项目受访者</w:t>
      </w:r>
      <w:r>
        <w:rPr>
          <w:rFonts w:hint="eastAsia" w:asciiTheme="minorEastAsia" w:hAnsiTheme="minorEastAsia" w:eastAsiaTheme="minorEastAsia" w:cstheme="minorEastAsia"/>
          <w:b/>
          <w:bCs/>
          <w:sz w:val="24"/>
          <w:lang w:val="en-US" w:eastAsia="zh-CN"/>
        </w:rPr>
        <w:t>对项目实施总体</w:t>
      </w:r>
      <w:r>
        <w:rPr>
          <w:rFonts w:hint="eastAsia" w:asciiTheme="minorEastAsia" w:hAnsiTheme="minorEastAsia" w:eastAsiaTheme="minorEastAsia" w:cstheme="minorEastAsia"/>
          <w:b/>
          <w:bCs/>
          <w:sz w:val="24"/>
        </w:rPr>
        <w:t>满意度情况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根据指标体系评分标准，工作人员满意度</w:t>
      </w:r>
      <w:r>
        <w:rPr>
          <w:rFonts w:hint="eastAsia"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cs="仿宋_GB2312"/>
          <w:color w:val="auto"/>
          <w:kern w:val="2"/>
          <w:sz w:val="32"/>
          <w:szCs w:val="32"/>
          <w:highlight w:val="none"/>
          <w:lang w:val="en-US" w:eastAsia="zh-CN" w:bidi="ar-SA"/>
        </w:rPr>
        <w:t>。指标</w:t>
      </w:r>
      <w:r>
        <w:rPr>
          <w:rFonts w:hint="eastAsia" w:ascii="仿宋_GB2312" w:hAnsi="仿宋_GB2312" w:eastAsia="仿宋_GB2312" w:cs="仿宋_GB2312"/>
          <w:color w:val="auto"/>
          <w:kern w:val="2"/>
          <w:sz w:val="32"/>
          <w:szCs w:val="32"/>
          <w:highlight w:val="none"/>
          <w:lang w:val="en-US" w:eastAsia="zh-CN" w:bidi="ar-SA"/>
        </w:rPr>
        <w:t>得</w:t>
      </w:r>
      <w:r>
        <w:rPr>
          <w:rFonts w:hint="eastAsia" w:cs="仿宋_GB2312"/>
          <w:color w:val="auto"/>
          <w:kern w:val="2"/>
          <w:sz w:val="32"/>
          <w:szCs w:val="32"/>
          <w:highlight w:val="none"/>
          <w:lang w:val="en-US" w:eastAsia="zh-CN" w:bidi="ar-SA"/>
        </w:rPr>
        <w:t>分为</w:t>
      </w:r>
      <w:r>
        <w:rPr>
          <w:rFonts w:hint="eastAsia" w:ascii="仿宋_GB2312" w:hAnsi="仿宋_GB2312" w:eastAsia="仿宋_GB2312" w:cs="仿宋_GB2312"/>
          <w:color w:val="auto"/>
          <w:kern w:val="2"/>
          <w:sz w:val="32"/>
          <w:szCs w:val="32"/>
          <w:highlight w:val="none"/>
          <w:lang w:val="en-US" w:eastAsia="zh-CN" w:bidi="ar-SA"/>
        </w:rPr>
        <w:t>5分。</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cs="仿宋_GB2312"/>
          <w:b w:val="0"/>
          <w:bCs w:val="0"/>
          <w:color w:val="auto"/>
          <w:szCs w:val="32"/>
          <w:highlight w:val="none"/>
        </w:rPr>
      </w:pPr>
      <w:bookmarkStart w:id="89" w:name="_Toc10989"/>
      <w:bookmarkStart w:id="90" w:name="_Toc419"/>
      <w:bookmarkStart w:id="91" w:name="_Toc31772"/>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_Toc29493 </w:instrText>
      </w:r>
      <w:r>
        <w:rPr>
          <w:rFonts w:hint="eastAsia" w:ascii="黑体" w:hAnsi="黑体" w:eastAsia="黑体" w:cs="黑体"/>
          <w:b w:val="0"/>
          <w:bCs w:val="0"/>
          <w:color w:val="auto"/>
          <w:sz w:val="32"/>
          <w:szCs w:val="32"/>
          <w:highlight w:val="none"/>
          <w:lang w:val="en-US" w:eastAsia="zh-CN"/>
        </w:rPr>
        <w:fldChar w:fldCharType="separate"/>
      </w:r>
      <w:r>
        <w:rPr>
          <w:rFonts w:hint="eastAsia"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lang w:val="en-US" w:eastAsia="zh-CN"/>
        </w:rPr>
        <w:t>、</w:t>
      </w:r>
      <w:r>
        <w:rPr>
          <w:rFonts w:hint="eastAsia" w:cs="黑体"/>
          <w:b w:val="0"/>
          <w:bCs w:val="0"/>
          <w:color w:val="auto"/>
          <w:sz w:val="32"/>
          <w:szCs w:val="32"/>
          <w:highlight w:val="none"/>
          <w:lang w:val="en-US" w:eastAsia="zh-CN"/>
        </w:rPr>
        <w:t>项目</w:t>
      </w:r>
      <w:r>
        <w:rPr>
          <w:rFonts w:hint="eastAsia" w:ascii="黑体" w:hAnsi="黑体" w:eastAsia="黑体" w:cs="黑体"/>
          <w:b w:val="0"/>
          <w:bCs w:val="0"/>
          <w:color w:val="auto"/>
          <w:sz w:val="32"/>
          <w:szCs w:val="32"/>
          <w:highlight w:val="none"/>
          <w:lang w:val="en-US" w:eastAsia="zh-CN"/>
        </w:rPr>
        <w:t>主要经验及做法</w:t>
      </w:r>
      <w:r>
        <w:rPr>
          <w:rFonts w:hint="eastAsia" w:ascii="黑体" w:hAnsi="黑体" w:eastAsia="黑体" w:cs="黑体"/>
          <w:b w:val="0"/>
          <w:bCs w:val="0"/>
          <w:color w:val="auto"/>
          <w:sz w:val="32"/>
          <w:szCs w:val="32"/>
          <w:highlight w:val="none"/>
          <w:lang w:val="en-US" w:eastAsia="zh-CN"/>
        </w:rPr>
        <w:fldChar w:fldCharType="end"/>
      </w:r>
      <w:bookmarkEnd w:id="88"/>
      <w:bookmarkEnd w:id="89"/>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Cs w:val="32"/>
          <w:highlight w:val="none"/>
          <w:lang w:val="en-US" w:eastAsia="zh-CN"/>
        </w:rPr>
      </w:pPr>
      <w:r>
        <w:rPr>
          <w:rFonts w:hint="eastAsia" w:ascii="楷体_GB2312" w:hAnsi="楷体_GB2312" w:eastAsia="楷体_GB2312" w:cs="楷体_GB2312"/>
          <w:b w:val="0"/>
          <w:bCs/>
          <w:color w:val="auto"/>
          <w:szCs w:val="32"/>
          <w:highlight w:val="none"/>
          <w:lang w:val="en-US" w:eastAsia="zh-CN"/>
        </w:rPr>
        <w:t>（一）以第三方机构对建设项目审计为契机，进一步加强项目管理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b/>
          <w:bCs/>
          <w:color w:val="auto"/>
          <w:kern w:val="0"/>
          <w:sz w:val="32"/>
          <w:szCs w:val="32"/>
          <w:highlight w:val="none"/>
          <w:lang w:val="en-US" w:eastAsia="zh-CN" w:bidi="ar-SA"/>
        </w:rPr>
      </w:pPr>
      <w:r>
        <w:rPr>
          <w:rFonts w:hint="eastAsia" w:cs="仿宋_GB2312"/>
          <w:b w:val="0"/>
          <w:bCs w:val="0"/>
          <w:color w:val="auto"/>
          <w:kern w:val="0"/>
          <w:sz w:val="32"/>
          <w:szCs w:val="32"/>
          <w:highlight w:val="none"/>
          <w:lang w:val="en-US" w:eastAsia="zh-CN" w:bidi="ar-SA"/>
        </w:rPr>
        <w:t>2019年4月，省委编办委托北京国嘉瑞联合会计事务所对2011年以来实施的机构编制实名制等电子政务建设项目进行了审计，针对审计反馈的项目立项、执行、验收等程序不规范，财务内控制度不健全等问题。2021年以来，省委编办通过一系列整改措施，进一步加强项目管理。成立了省委编办网络安全和信息化工作领导；加强与省财政厅和省公共资源交易局的沟通，规范项目立项、招标、实施、验收流程；邀请省公共资源交易局和省审计厅专业人员对项目招投标、项目资金管理和项目绩效评价进行讲解，增强项目管理人员的业务能力；修订了《省委编办财务管理制度》，制订了《省委编办信息化项目建设管理办法》和《省委编办专项资金管理办法》，形成用制度管项目的长效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（二）严格执行制度规定，有效提升机构编制实名制业务管理水平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仿宋_GB2312"/>
          <w:b/>
          <w:bCs/>
          <w:color w:val="auto"/>
          <w:kern w:val="0"/>
          <w:sz w:val="32"/>
          <w:szCs w:val="32"/>
          <w:highlight w:val="none"/>
          <w:lang w:val="en-US" w:eastAsia="zh-CN" w:bidi="ar-SA"/>
        </w:rPr>
      </w:pPr>
      <w:r>
        <w:rPr>
          <w:rFonts w:hint="eastAsia" w:cs="仿宋_GB2312"/>
          <w:b w:val="0"/>
          <w:bCs w:val="0"/>
          <w:color w:val="auto"/>
          <w:kern w:val="0"/>
          <w:sz w:val="32"/>
          <w:szCs w:val="32"/>
          <w:highlight w:val="none"/>
          <w:lang w:val="en-US" w:eastAsia="zh-CN" w:bidi="ar-SA"/>
        </w:rPr>
        <w:t>2021年，省委编办严格落实《机构编制统计年报审核和机构编制数据管理制度》规定，规范实名制业务办理流程和数据管理，形成用制度管理、用标准规范的实名制工作机制。严格执行机关《信息化项目建设管理办法》《专项资金管理办法》规定，扎实做好机构编制实名制管理系统运行维护工作，</w:t>
      </w:r>
      <w:r>
        <w:rPr>
          <w:rStyle w:val="18"/>
          <w:rFonts w:hint="eastAsia" w:ascii="仿宋_GB2312" w:hAnsi="仿宋_GB2312" w:eastAsia="仿宋_GB2312" w:cs="仿宋_GB2312"/>
          <w:sz w:val="32"/>
          <w:szCs w:val="32"/>
          <w:highlight w:val="none"/>
          <w:lang w:val="en-US" w:eastAsia="zh-CN"/>
        </w:rPr>
        <w:t>根据网络安全及系统维护需要，通过公开招标和自行询价采购的方式，确定3家第三方服务机构负责机房运行维护、网络群系统运行维护、办公区域（终端）设备运行维护，持续做好机房、网络设备维修维护工作，保障办机关业务工作正常开展。第三方服务机构选派运维工程师在机房驻场巡查，保证在2日内解决机构编制实名制管理系统及网络群故障预警问题，保障了各系统、网络的正常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（三）资金支出合规，财务档案齐全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s="仿宋_GB2312"/>
          <w:b w:val="0"/>
          <w:bCs w:val="0"/>
          <w:color w:val="auto"/>
          <w:kern w:val="0"/>
          <w:sz w:val="32"/>
          <w:szCs w:val="32"/>
          <w:highlight w:val="none"/>
          <w:lang w:val="en-US" w:eastAsia="zh-CN" w:bidi="ar-SA"/>
        </w:rPr>
      </w:pPr>
      <w:r>
        <w:rPr>
          <w:rFonts w:hint="eastAsia" w:cs="仿宋_GB2312"/>
          <w:b w:val="0"/>
          <w:bCs w:val="0"/>
          <w:color w:val="auto"/>
          <w:kern w:val="0"/>
          <w:sz w:val="32"/>
          <w:szCs w:val="32"/>
          <w:highlight w:val="none"/>
          <w:lang w:val="en-US" w:eastAsia="zh-CN" w:bidi="ar-SA"/>
        </w:rPr>
        <w:t>省委编办严格落实机关《财务管理制度》规定，2021年业务费项目资金的支出、使用能按照相关财经法律法规制度的规定，及国家有关财务管理制度和办法进行核算，资金的使用和支出具有完整的审批程序和报销手续，资金使用符合项目计划的用途，不存在截留、挤占、挪用、虚列支出等情况。项目财务记账凭证及资金支出明细账等资料齐全，核算内容真实、准确、规范，会计凭证完整、齐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auto"/>
          <w:sz w:val="32"/>
          <w:szCs w:val="32"/>
          <w:highlight w:val="none"/>
          <w:lang w:val="en-US" w:eastAsia="zh-CN"/>
        </w:rPr>
      </w:pPr>
      <w:bookmarkStart w:id="92" w:name="_Toc26015"/>
      <w:bookmarkStart w:id="93" w:name="_Toc8673"/>
      <w:bookmarkStart w:id="94" w:name="_Toc11228"/>
      <w:bookmarkStart w:id="95" w:name="_Toc13527"/>
      <w:r>
        <w:rPr>
          <w:rFonts w:hint="eastAsia" w:ascii="黑体" w:hAnsi="黑体" w:eastAsia="黑体" w:cs="黑体"/>
          <w:b w:val="0"/>
          <w:bCs w:val="0"/>
          <w:color w:val="auto"/>
          <w:sz w:val="32"/>
          <w:szCs w:val="32"/>
          <w:highlight w:val="none"/>
          <w:lang w:val="en-US" w:eastAsia="zh-CN"/>
        </w:rPr>
        <w:t>七、存在的问题及原因分析</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（一）预算编制的科学性和精细化水平有待提高</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1"/>
        <w:rPr>
          <w:rFonts w:hint="eastAsia" w:ascii="仿宋_GB2312" w:hAnsi="仿宋_GB2312" w:eastAsia="仿宋_GB2312" w:cs="仿宋_GB2312"/>
          <w:b w:val="0"/>
          <w:bCs/>
          <w:color w:val="auto"/>
          <w:sz w:val="32"/>
          <w:szCs w:val="32"/>
          <w:highlight w:val="none"/>
          <w:lang w:val="en-US" w:eastAsia="zh-CN"/>
        </w:rPr>
      </w:pPr>
      <w:bookmarkStart w:id="96" w:name="_Toc18262"/>
      <w:bookmarkStart w:id="97" w:name="_Toc7093"/>
      <w:bookmarkStart w:id="98" w:name="_Toc8627"/>
      <w:r>
        <w:rPr>
          <w:rFonts w:hint="eastAsia" w:ascii="仿宋_GB2312" w:hAnsi="仿宋_GB2312" w:eastAsia="仿宋_GB2312" w:cs="仿宋_GB2312"/>
          <w:b w:val="0"/>
          <w:bCs/>
          <w:lang w:val="en-US" w:eastAsia="zh-CN"/>
        </w:rPr>
        <w:t>省委编办《2021年部门预算公开表》显示，在年初编制预算时2021年专项业务费预算320万元，在日常运行支出中对项目支出进行了分配，其中，</w:t>
      </w:r>
      <w:r>
        <w:rPr>
          <w:rFonts w:hint="eastAsia" w:ascii="仿宋_GB2312" w:hAnsi="仿宋_GB2312" w:eastAsia="仿宋_GB2312" w:cs="仿宋_GB2312"/>
          <w:b w:val="0"/>
          <w:bCs/>
          <w:color w:val="auto"/>
          <w:szCs w:val="32"/>
          <w:highlight w:val="none"/>
          <w:lang w:eastAsia="zh-CN"/>
        </w:rPr>
        <w:t>办公费155万元、印刷费26万元、电费15万元、取暖费10万元、差旅费10万元、租赁费10万元、会议费11万元、培训费14万元、公务接待费3万元、委托业务费35万元、办公设备购置6万元、信息网络及软件购置更新25万元。年度部门决算显示，上述项目资金中，</w:t>
      </w:r>
      <w:r>
        <w:rPr>
          <w:rFonts w:hint="eastAsia" w:ascii="仿宋_GB2312" w:hAnsi="仿宋_GB2312" w:eastAsia="仿宋_GB2312" w:cs="仿宋_GB2312"/>
          <w:b w:val="0"/>
          <w:bCs/>
          <w:kern w:val="2"/>
          <w:sz w:val="32"/>
          <w:szCs w:val="24"/>
          <w:lang w:val="en-US" w:eastAsia="zh-CN" w:bidi="ar-SA"/>
        </w:rPr>
        <w:t>公务接待费未支出，办公费、培训费分别结余49.66万元、10.63万元，占比32.04%、75.93%，结余比例较高，未充分发挥资金使用效益。</w:t>
      </w:r>
      <w:r>
        <w:rPr>
          <w:rFonts w:hint="eastAsia" w:ascii="仿宋_GB2312" w:hAnsi="仿宋_GB2312" w:eastAsia="仿宋_GB2312" w:cs="仿宋_GB2312"/>
          <w:b w:val="0"/>
          <w:bCs/>
          <w:color w:val="auto"/>
          <w:kern w:val="0"/>
          <w:sz w:val="32"/>
          <w:szCs w:val="32"/>
          <w:highlight w:val="none"/>
          <w:lang w:val="en-US" w:eastAsia="zh-CN" w:bidi="ar-SA"/>
        </w:rPr>
        <w:t>且预算额度分解无明确标准，</w:t>
      </w:r>
      <w:r>
        <w:rPr>
          <w:rFonts w:hint="eastAsia" w:ascii="仿宋_GB2312" w:hAnsi="仿宋_GB2312" w:eastAsia="仿宋_GB2312" w:cs="仿宋_GB2312"/>
          <w:b w:val="0"/>
          <w:bCs/>
          <w:color w:val="auto"/>
          <w:sz w:val="32"/>
          <w:szCs w:val="32"/>
          <w:highlight w:val="none"/>
          <w:lang w:val="en-US" w:eastAsia="zh-CN"/>
        </w:rPr>
        <w:t>预算资金分配无相关测算依据。</w:t>
      </w:r>
      <w:bookmarkEnd w:id="96"/>
      <w:bookmarkEnd w:id="97"/>
      <w:bookmarkEnd w:id="98"/>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楷体_GB2312" w:hAnsi="楷体_GB2312" w:eastAsia="楷体_GB2312" w:cs="楷体_GB2312"/>
          <w:b w:val="0"/>
          <w:bCs w:val="0"/>
          <w:color w:val="auto"/>
          <w:kern w:val="0"/>
          <w:sz w:val="32"/>
          <w:szCs w:val="32"/>
          <w:highlight w:val="none"/>
          <w:lang w:val="en-US" w:eastAsia="zh-CN" w:bidi="ar-SA"/>
        </w:rPr>
      </w:pPr>
      <w:r>
        <w:rPr>
          <w:rFonts w:hint="eastAsia" w:ascii="楷体_GB2312" w:hAnsi="楷体_GB2312" w:eastAsia="楷体_GB2312" w:cs="楷体_GB2312"/>
          <w:b w:val="0"/>
          <w:bCs w:val="0"/>
          <w:color w:val="auto"/>
          <w:kern w:val="0"/>
          <w:sz w:val="32"/>
          <w:szCs w:val="32"/>
          <w:highlight w:val="none"/>
          <w:lang w:val="en-US" w:eastAsia="zh-CN" w:bidi="ar-SA"/>
        </w:rPr>
        <w:t>（二）做好机构改革“后半篇文章”有一定的差距</w:t>
      </w:r>
    </w:p>
    <w:p>
      <w:pPr>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lang w:val="en-US" w:eastAsia="zh-CN"/>
        </w:rPr>
      </w:pPr>
      <w:r>
        <w:rPr>
          <w:rFonts w:hint="eastAsia"/>
          <w:lang w:val="en-US" w:eastAsia="zh-CN"/>
        </w:rPr>
        <w:t>经查阅相关项目档案、省委编办2021年终工作总结，结合省委编办对2020年省委第一巡视组常规巡视反馈意见整改情况，在党中央统一部署下，我省机构改革任务已全面完成，适应新时代要求的机构职能体系已初步建立，但正如总书记所说，党和国家机构改革是一个过程，不会一蹴而就、也不会一劳永逸。我省机构编制资源配置还不够科学合理，机构编制调查研究深度还不够，破解历史遗留问题和深层次体制机制问题的成效不够明显，干部队伍建设还需要进一步加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99" w:name="_Toc15115"/>
      <w:bookmarkStart w:id="100" w:name="_Toc28161"/>
      <w:bookmarkStart w:id="101" w:name="_Toc16345"/>
      <w:r>
        <w:rPr>
          <w:rFonts w:hint="eastAsia" w:ascii="黑体" w:hAnsi="黑体" w:eastAsia="黑体" w:cs="黑体"/>
          <w:b/>
          <w:bCs/>
          <w:color w:val="FF0000"/>
          <w:sz w:val="32"/>
          <w:szCs w:val="32"/>
          <w:highlight w:val="none"/>
          <w:lang w:val="en-US" w:eastAsia="zh-CN"/>
        </w:rPr>
        <w:fldChar w:fldCharType="begin"/>
      </w:r>
      <w:r>
        <w:rPr>
          <w:rFonts w:hint="eastAsia" w:ascii="黑体" w:hAnsi="黑体" w:eastAsia="黑体" w:cs="黑体"/>
          <w:b/>
          <w:bCs/>
          <w:color w:val="FF0000"/>
          <w:sz w:val="32"/>
          <w:szCs w:val="32"/>
          <w:highlight w:val="none"/>
          <w:lang w:val="en-US" w:eastAsia="zh-CN"/>
        </w:rPr>
        <w:instrText xml:space="preserve"> HYPERLINK \l _Toc26431 </w:instrText>
      </w:r>
      <w:r>
        <w:rPr>
          <w:rFonts w:hint="eastAsia" w:ascii="黑体" w:hAnsi="黑体" w:eastAsia="黑体" w:cs="黑体"/>
          <w:b/>
          <w:bCs/>
          <w:color w:val="FF0000"/>
          <w:sz w:val="32"/>
          <w:szCs w:val="32"/>
          <w:highlight w:val="none"/>
          <w:lang w:val="en-US" w:eastAsia="zh-CN"/>
        </w:rPr>
        <w:fldChar w:fldCharType="separate"/>
      </w:r>
      <w:r>
        <w:rPr>
          <w:rFonts w:hint="eastAsia"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val="en-US" w:eastAsia="zh-CN"/>
        </w:rPr>
        <w:t>、</w:t>
      </w:r>
      <w:r>
        <w:rPr>
          <w:rFonts w:hint="eastAsia" w:cs="黑体"/>
          <w:b w:val="0"/>
          <w:bCs w:val="0"/>
          <w:color w:val="auto"/>
          <w:sz w:val="32"/>
          <w:szCs w:val="32"/>
          <w:highlight w:val="none"/>
          <w:lang w:val="en-US" w:eastAsia="zh-CN"/>
        </w:rPr>
        <w:t>有关建议</w:t>
      </w:r>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楷体_GB2312" w:hAnsi="楷体_GB2312" w:eastAsia="楷体_GB2312" w:cs="楷体_GB2312"/>
          <w:b w:val="0"/>
          <w:bCs/>
          <w:color w:val="FF0000"/>
          <w:lang w:val="en-US" w:eastAsia="zh-CN"/>
        </w:rPr>
      </w:pPr>
      <w:r>
        <w:rPr>
          <w:rFonts w:hint="eastAsia" w:ascii="楷体_GB2312" w:hAnsi="楷体_GB2312" w:eastAsia="楷体_GB2312" w:cs="楷体_GB2312"/>
          <w:b w:val="0"/>
          <w:bCs/>
          <w:color w:val="auto"/>
          <w:szCs w:val="32"/>
          <w:highlight w:val="none"/>
          <w:lang w:val="en-US" w:eastAsia="zh-CN"/>
        </w:rPr>
        <w:t>（一）科学编制预算，提高预算管理水平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cs="仿宋_GB2312"/>
          <w:b/>
          <w:bCs w:val="0"/>
          <w:color w:val="auto"/>
          <w:szCs w:val="32"/>
          <w:highlight w:val="none"/>
          <w:lang w:eastAsia="zh-CN"/>
        </w:rPr>
      </w:pPr>
      <w:r>
        <w:rPr>
          <w:rFonts w:hint="eastAsia" w:cs="Times New Roman"/>
          <w:b w:val="0"/>
          <w:bCs/>
          <w:color w:val="auto"/>
          <w:sz w:val="32"/>
          <w:szCs w:val="32"/>
          <w:highlight w:val="none"/>
          <w:lang w:val="en-US" w:eastAsia="zh-CN"/>
        </w:rPr>
        <w:t>建议省委编办在项目申请时要科学、精细化编制预算，做到有据可依。一是专项支出要分类依次落实到具体项目上，按定额和项目目标编制预算，在预算中要列示预算总额和具体支出方向和测算依据，并附详细文字说明，从而提高预算编制的精细化水平。二是合理确定预算定额，准确把握预算申请依据，定额标准要结合当地经济状况和单位实际科学合理制定，确保预算编制的精细化和规范化。三是进一步加强预算管理，加大预算执行力度，确保充分发挥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color w:val="auto"/>
          <w:szCs w:val="32"/>
          <w:highlight w:val="none"/>
          <w:lang w:val="en-US" w:eastAsia="zh-CN"/>
        </w:rPr>
      </w:pPr>
      <w:r>
        <w:rPr>
          <w:rFonts w:hint="eastAsia" w:ascii="楷体_GB2312" w:hAnsi="楷体_GB2312" w:eastAsia="楷体_GB2312" w:cs="楷体_GB2312"/>
          <w:b w:val="0"/>
          <w:bCs/>
          <w:color w:val="auto"/>
          <w:szCs w:val="32"/>
          <w:highlight w:val="none"/>
          <w:lang w:val="en-US" w:eastAsia="zh-CN"/>
        </w:rPr>
        <w:t>（二）坚持以党的政治建设为统领，扎实做好</w:t>
      </w:r>
      <w:r>
        <w:rPr>
          <w:rFonts w:hint="eastAsia" w:ascii="楷体_GB2312" w:hAnsi="楷体_GB2312" w:eastAsia="楷体_GB2312" w:cs="楷体_GB2312"/>
          <w:b w:val="0"/>
          <w:bCs/>
          <w:color w:val="auto"/>
          <w:kern w:val="0"/>
          <w:sz w:val="32"/>
          <w:szCs w:val="32"/>
          <w:highlight w:val="none"/>
          <w:lang w:val="en-US" w:eastAsia="zh-CN" w:bidi="ar-SA"/>
        </w:rPr>
        <w:t>机构改革</w:t>
      </w:r>
      <w:r>
        <w:rPr>
          <w:rFonts w:hint="eastAsia" w:ascii="楷体_GB2312" w:hAnsi="楷体_GB2312" w:eastAsia="楷体_GB2312" w:cs="楷体_GB2312"/>
          <w:b w:val="0"/>
          <w:bCs/>
          <w:color w:val="auto"/>
          <w:szCs w:val="32"/>
          <w:highlight w:val="none"/>
          <w:lang w:val="en-US" w:eastAsia="zh-CN"/>
        </w:rPr>
        <w:t>“后半篇文章”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s="Times New Roman"/>
          <w:b w:val="0"/>
          <w:bCs/>
          <w:color w:val="auto"/>
          <w:sz w:val="32"/>
          <w:szCs w:val="32"/>
          <w:highlight w:val="none"/>
          <w:lang w:val="en-US" w:eastAsia="zh-CN"/>
        </w:rPr>
      </w:pPr>
      <w:r>
        <w:rPr>
          <w:rFonts w:hint="eastAsia" w:cs="Times New Roman"/>
          <w:b w:val="0"/>
          <w:bCs/>
          <w:color w:val="auto"/>
          <w:sz w:val="32"/>
          <w:szCs w:val="32"/>
          <w:highlight w:val="none"/>
          <w:lang w:val="en-US" w:eastAsia="zh-CN"/>
        </w:rPr>
        <w:t>深化机构改革，目标是构建系统完备、科学规范、运行高效的机构职能体系，全面提高治理能力和治理水平。做好“后半篇文章”，必须把讲政治的要求贯彻落实到机构编制工作的全过程、各方面，紧紧围绕省委省政府中心工作，统筹谋划落实的具体措施，着力推动从“物理变化”向“化学反应”转变。要不断加强机构编制法治建设，有序推进机构编制法规制度体系建设“三年”行动计划，组织开展落实《条例》《规定》等法规制度专项督查工作，不断提升机构编制工作法治化、规范化水平，推动全省机构编制工作高质量发展。要深入推进重点领域改革，巩固深化基层管理体制改革成果，完成国防动员体制改革涉及的机构职能调整工作，做好国家公园机构设置及政法、综合行政执法领域改革工作。要加大民生领域保障力度。健全完善疾病预防控制体系，完成各级疾病预防控制局组建工作。要优化编制资源配置，推动各级中小学教职工编制配备全面达标。要提升机构编制资源使用效益，聚焦省委省政府重大决策部署，研究提出贯彻落实措施，强化机构编制资源服务支撑作用，助推全省各项事业发展。</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outlineLvl w:val="0"/>
        <w:rPr>
          <w:rFonts w:hint="eastAsia" w:ascii="黑体" w:hAnsi="黑体" w:eastAsia="黑体" w:cs="黑体"/>
          <w:b/>
          <w:bCs/>
          <w:color w:val="FF0000"/>
          <w:sz w:val="32"/>
          <w:szCs w:val="32"/>
          <w:highlight w:val="none"/>
          <w:lang w:val="en-US" w:eastAsia="zh-CN"/>
        </w:rPr>
      </w:pPr>
      <w:bookmarkStart w:id="102" w:name="_Toc21552"/>
      <w:bookmarkStart w:id="103" w:name="_Toc2418"/>
      <w:bookmarkStart w:id="104" w:name="_Toc31126"/>
      <w:r>
        <w:rPr>
          <w:rFonts w:hint="eastAsia"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lang w:val="en-US" w:eastAsia="zh-CN"/>
        </w:rPr>
        <w:t>需要说明的问题</w:t>
      </w:r>
      <w:r>
        <w:rPr>
          <w:rFonts w:hint="eastAsia" w:ascii="黑体" w:hAnsi="黑体" w:eastAsia="黑体" w:cs="黑体"/>
          <w:b/>
          <w:bCs/>
          <w:color w:val="FF0000"/>
          <w:sz w:val="32"/>
          <w:szCs w:val="32"/>
          <w:highlight w:val="none"/>
          <w:lang w:val="en-US" w:eastAsia="zh-CN"/>
        </w:rPr>
        <w:fldChar w:fldCharType="end"/>
      </w:r>
      <w:bookmarkEnd w:id="95"/>
      <w:bookmarkEnd w:id="102"/>
      <w:bookmarkEnd w:id="103"/>
      <w:bookmarkEnd w:id="10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cs="仿宋_GB2312"/>
          <w:color w:val="auto"/>
          <w:kern w:val="2"/>
          <w:sz w:val="32"/>
          <w:szCs w:val="32"/>
          <w:highlight w:val="none"/>
          <w:lang w:val="en-US" w:eastAsia="zh-CN" w:bidi="ar-SA"/>
        </w:rPr>
        <w:t>项目评价组通过微信小程序向项目受益对象开展了“省委编办2021年业务费项目满意度”的</w:t>
      </w:r>
      <w:r>
        <w:rPr>
          <w:rFonts w:hint="eastAsia" w:ascii="仿宋_GB2312" w:hAnsi="仿宋_GB2312" w:eastAsia="仿宋_GB2312" w:cs="仿宋_GB2312"/>
          <w:color w:val="auto"/>
          <w:kern w:val="2"/>
          <w:sz w:val="32"/>
          <w:szCs w:val="32"/>
          <w:highlight w:val="none"/>
          <w:lang w:val="en-US" w:eastAsia="zh-CN" w:bidi="ar-SA"/>
        </w:rPr>
        <w:t>调查</w:t>
      </w:r>
      <w:r>
        <w:rPr>
          <w:rFonts w:hint="eastAsia" w:cs="仿宋_GB2312"/>
          <w:color w:val="auto"/>
          <w:kern w:val="2"/>
          <w:sz w:val="32"/>
          <w:szCs w:val="32"/>
          <w:highlight w:val="none"/>
          <w:lang w:val="en-US" w:eastAsia="zh-CN" w:bidi="ar-SA"/>
        </w:rPr>
        <w:t>问</w:t>
      </w:r>
      <w:r>
        <w:rPr>
          <w:rFonts w:hint="eastAsia" w:ascii="仿宋_GB2312" w:hAnsi="仿宋_GB2312" w:eastAsia="仿宋_GB2312" w:cs="仿宋_GB2312"/>
          <w:color w:val="auto"/>
          <w:kern w:val="2"/>
          <w:sz w:val="32"/>
          <w:szCs w:val="32"/>
          <w:highlight w:val="none"/>
          <w:lang w:val="en-US" w:eastAsia="zh-CN" w:bidi="ar-SA"/>
        </w:rPr>
        <w:t>卷</w:t>
      </w:r>
      <w:r>
        <w:rPr>
          <w:rFonts w:hint="eastAsia" w:cs="仿宋_GB2312"/>
          <w:color w:val="auto"/>
          <w:kern w:val="2"/>
          <w:sz w:val="32"/>
          <w:szCs w:val="32"/>
          <w:highlight w:val="none"/>
          <w:lang w:val="en-US" w:eastAsia="zh-CN" w:bidi="ar-SA"/>
        </w:rPr>
        <w:t>，有效填写问卷27份，问卷回收率低，据此得出的评价结论并不能代表总体效果。2021年4月至5月，</w:t>
      </w:r>
      <w:r>
        <w:rPr>
          <w:rFonts w:hint="eastAsia" w:ascii="仿宋_GB2312" w:hAnsi="仿宋_GB2312" w:eastAsia="仿宋_GB2312" w:cs="仿宋_GB2312"/>
          <w:sz w:val="32"/>
          <w:szCs w:val="32"/>
          <w:lang w:val="en-US" w:eastAsia="zh-CN"/>
        </w:rPr>
        <w:t>省审计厅开展</w:t>
      </w:r>
      <w:r>
        <w:rPr>
          <w:rFonts w:hint="eastAsia" w:cs="仿宋_GB2312"/>
          <w:sz w:val="32"/>
          <w:szCs w:val="32"/>
          <w:lang w:val="en-US" w:eastAsia="zh-CN"/>
        </w:rPr>
        <w:t>了</w:t>
      </w:r>
      <w:r>
        <w:rPr>
          <w:rFonts w:hint="eastAsia" w:ascii="仿宋_GB2312" w:hAnsi="仿宋_GB2312" w:eastAsia="仿宋_GB2312" w:cs="仿宋_GB2312"/>
          <w:sz w:val="32"/>
          <w:szCs w:val="32"/>
          <w:lang w:val="en-US" w:eastAsia="zh-CN"/>
        </w:rPr>
        <w:t>省直部门（单位）2020年度预算执行数据疑点审计</w:t>
      </w:r>
      <w:r>
        <w:rPr>
          <w:rFonts w:hint="eastAsia" w:cs="仿宋_GB2312"/>
          <w:sz w:val="32"/>
          <w:szCs w:val="32"/>
          <w:lang w:val="en-US" w:eastAsia="zh-CN"/>
        </w:rPr>
        <w:t>，对省委编办进行了延伸审计，</w:t>
      </w:r>
      <w:r>
        <w:rPr>
          <w:rFonts w:hint="eastAsia" w:cs="仿宋_GB2312"/>
          <w:color w:val="auto"/>
          <w:kern w:val="2"/>
          <w:sz w:val="32"/>
          <w:szCs w:val="32"/>
          <w:highlight w:val="none"/>
          <w:lang w:val="en-US" w:eastAsia="zh-CN" w:bidi="ar-SA"/>
        </w:rPr>
        <w:t>未出现财经纪律违规现象。</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eastAsia" w:ascii="黑体" w:hAnsi="黑体" w:eastAsia="黑体" w:cs="黑体"/>
          <w:b w:val="0"/>
          <w:bCs w:val="0"/>
          <w:color w:val="auto"/>
          <w:sz w:val="32"/>
          <w:szCs w:val="32"/>
          <w:highlight w:val="none"/>
          <w:lang w:val="en-US" w:eastAsia="zh-CN"/>
        </w:rPr>
      </w:pPr>
      <w:bookmarkStart w:id="105" w:name="_Toc4185"/>
      <w:bookmarkStart w:id="106" w:name="_Toc29005"/>
      <w:bookmarkStart w:id="107" w:name="_Toc32435"/>
      <w:bookmarkStart w:id="108" w:name="_Toc19213"/>
      <w:bookmarkStart w:id="109" w:name="_Toc5700"/>
      <w:r>
        <w:rPr>
          <w:rFonts w:hint="eastAsia" w:cs="黑体"/>
          <w:b w:val="0"/>
          <w:bCs w:val="0"/>
          <w:color w:val="auto"/>
          <w:sz w:val="32"/>
          <w:szCs w:val="32"/>
          <w:highlight w:val="none"/>
          <w:lang w:val="en-US" w:eastAsia="zh-CN"/>
        </w:rPr>
        <w:t>十</w:t>
      </w:r>
      <w:r>
        <w:rPr>
          <w:rFonts w:hint="eastAsia" w:ascii="黑体" w:hAnsi="黑体" w:eastAsia="黑体" w:cs="黑体"/>
          <w:b w:val="0"/>
          <w:bCs w:val="0"/>
          <w:color w:val="auto"/>
          <w:sz w:val="32"/>
          <w:szCs w:val="32"/>
          <w:highlight w:val="none"/>
          <w:lang w:val="en-US" w:eastAsia="zh-CN"/>
        </w:rPr>
        <w:t>、其他</w:t>
      </w:r>
      <w:r>
        <w:rPr>
          <w:rFonts w:hint="eastAsia" w:ascii="黑体" w:hAnsi="黑体" w:eastAsia="黑体" w:cs="黑体"/>
          <w:b w:val="0"/>
          <w:bCs w:val="0"/>
          <w:color w:val="auto"/>
          <w:sz w:val="32"/>
          <w:szCs w:val="32"/>
          <w:highlight w:val="none"/>
          <w:lang w:val="en-US" w:eastAsia="zh-CN"/>
        </w:rPr>
        <w:fldChar w:fldCharType="begin"/>
      </w:r>
      <w:r>
        <w:rPr>
          <w:rFonts w:hint="eastAsia" w:ascii="黑体" w:hAnsi="黑体" w:eastAsia="黑体" w:cs="黑体"/>
          <w:b w:val="0"/>
          <w:bCs w:val="0"/>
          <w:color w:val="auto"/>
          <w:sz w:val="32"/>
          <w:szCs w:val="32"/>
          <w:highlight w:val="none"/>
          <w:lang w:val="en-US" w:eastAsia="zh-CN"/>
        </w:rPr>
        <w:instrText xml:space="preserve"> HYPERLINK \l _Toc1632 </w:instrText>
      </w:r>
      <w:r>
        <w:rPr>
          <w:rFonts w:hint="eastAsia" w:ascii="黑体" w:hAnsi="黑体" w:eastAsia="黑体" w:cs="黑体"/>
          <w:b w:val="0"/>
          <w:bCs w:val="0"/>
          <w:color w:val="auto"/>
          <w:sz w:val="32"/>
          <w:szCs w:val="32"/>
          <w:highlight w:val="none"/>
          <w:lang w:val="en-US" w:eastAsia="zh-CN"/>
        </w:rPr>
        <w:fldChar w:fldCharType="separate"/>
      </w:r>
      <w:r>
        <w:rPr>
          <w:rFonts w:hint="eastAsia" w:ascii="黑体" w:hAnsi="黑体" w:eastAsia="黑体" w:cs="黑体"/>
          <w:b w:val="0"/>
          <w:bCs w:val="0"/>
          <w:color w:val="auto"/>
          <w:sz w:val="32"/>
          <w:szCs w:val="32"/>
          <w:highlight w:val="none"/>
          <w:lang w:val="en-US" w:eastAsia="zh-CN"/>
        </w:rPr>
        <w:t>附件</w:t>
      </w:r>
      <w:r>
        <w:rPr>
          <w:rFonts w:hint="eastAsia" w:ascii="黑体" w:hAnsi="黑体" w:eastAsia="黑体" w:cs="黑体"/>
          <w:b w:val="0"/>
          <w:bCs w:val="0"/>
          <w:color w:val="auto"/>
          <w:sz w:val="32"/>
          <w:szCs w:val="32"/>
          <w:highlight w:val="none"/>
          <w:lang w:val="en-US" w:eastAsia="zh-CN"/>
        </w:rPr>
        <w:fldChar w:fldCharType="end"/>
      </w:r>
      <w:bookmarkEnd w:id="105"/>
      <w:bookmarkEnd w:id="106"/>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2"/>
          <w:sz w:val="32"/>
          <w:szCs w:val="32"/>
          <w:highlight w:val="none"/>
          <w:lang w:val="en-US" w:eastAsia="zh-CN" w:bidi="ar-SA"/>
        </w:rPr>
      </w:pPr>
      <w:bookmarkStart w:id="110" w:name="_Toc32521"/>
      <w:bookmarkStart w:id="111" w:name="_Toc2410"/>
      <w:bookmarkStart w:id="112" w:name="_Toc2567"/>
      <w:bookmarkStart w:id="113" w:name="_Toc323"/>
      <w:bookmarkStart w:id="114" w:name="_Toc23151"/>
      <w:bookmarkStart w:id="115" w:name="_Toc10659"/>
      <w:bookmarkStart w:id="116" w:name="_Toc3903"/>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HYPERLINK \l "_Toc28958"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附件1 绩效评价指标体系</w:t>
      </w:r>
      <w:r>
        <w:rPr>
          <w:rFonts w:hint="eastAsia" w:ascii="仿宋_GB2312" w:hAnsi="仿宋_GB2312" w:eastAsia="仿宋_GB2312" w:cs="仿宋_GB2312"/>
          <w:color w:val="auto"/>
          <w:kern w:val="2"/>
          <w:sz w:val="32"/>
          <w:szCs w:val="32"/>
          <w:highlight w:val="none"/>
          <w:lang w:val="en-US" w:eastAsia="zh-CN" w:bidi="ar-SA"/>
        </w:rPr>
        <w:fldChar w:fldCharType="end"/>
      </w:r>
      <w:bookmarkEnd w:id="110"/>
      <w:bookmarkEnd w:id="111"/>
      <w:bookmarkEnd w:id="112"/>
      <w:bookmarkEnd w:id="113"/>
      <w:bookmarkEnd w:id="114"/>
      <w:bookmarkEnd w:id="115"/>
      <w:bookmarkEnd w:id="1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ascii="楷体" w:hAnsi="楷体" w:eastAsia="楷体" w:cs="宋体"/>
          <w:b/>
          <w:color w:val="auto"/>
          <w:szCs w:val="28"/>
          <w:highlight w:val="none"/>
        </w:rPr>
      </w:pPr>
      <w:bookmarkStart w:id="117" w:name="_Toc20713"/>
      <w:bookmarkStart w:id="118" w:name="_Toc29308"/>
      <w:bookmarkStart w:id="119" w:name="_Toc17253"/>
      <w:bookmarkStart w:id="120" w:name="_Toc11282"/>
      <w:bookmarkStart w:id="121" w:name="_Toc30261"/>
      <w:bookmarkStart w:id="122" w:name="_Toc17951"/>
      <w:bookmarkStart w:id="123" w:name="_Toc28972"/>
      <w:r>
        <w:rPr>
          <w:rFonts w:hint="eastAsia" w:ascii="仿宋_GB2312" w:hAnsi="仿宋_GB2312" w:eastAsia="仿宋_GB2312" w:cs="仿宋_GB2312"/>
          <w:color w:val="auto"/>
          <w:kern w:val="2"/>
          <w:sz w:val="32"/>
          <w:szCs w:val="32"/>
          <w:highlight w:val="none"/>
          <w:lang w:val="en-US" w:eastAsia="zh-CN" w:bidi="ar-SA"/>
        </w:rPr>
        <w:t>附件2 项目资金使用情况表</w:t>
      </w:r>
      <w:bookmarkEnd w:id="117"/>
      <w:bookmarkEnd w:id="118"/>
      <w:bookmarkEnd w:id="119"/>
      <w:bookmarkEnd w:id="120"/>
      <w:bookmarkEnd w:id="121"/>
      <w:bookmarkEnd w:id="122"/>
      <w:bookmarkEnd w:id="123"/>
      <w:bookmarkStart w:id="124" w:name="_Toc2667"/>
      <w:bookmarkStart w:id="125" w:name="_Toc2895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kern w:val="2"/>
          <w:sz w:val="32"/>
          <w:szCs w:val="32"/>
          <w:highlight w:val="none"/>
          <w:lang w:val="en-US" w:eastAsia="zh-CN" w:bidi="ar-SA"/>
        </w:rPr>
      </w:pPr>
      <w:bookmarkStart w:id="126" w:name="_Toc27878"/>
      <w:bookmarkStart w:id="127" w:name="_Toc8353"/>
      <w:bookmarkStart w:id="128" w:name="_Toc30456"/>
      <w:r>
        <w:rPr>
          <w:rFonts w:hint="eastAsia" w:ascii="仿宋_GB2312" w:hAnsi="仿宋_GB2312" w:eastAsia="仿宋_GB2312" w:cs="仿宋_GB2312"/>
          <w:color w:val="auto"/>
          <w:kern w:val="2"/>
          <w:sz w:val="32"/>
          <w:szCs w:val="32"/>
          <w:highlight w:val="none"/>
          <w:lang w:val="en-US" w:eastAsia="zh-CN" w:bidi="ar-SA"/>
        </w:rPr>
        <w:t>附件</w:t>
      </w:r>
      <w:r>
        <w:rPr>
          <w:rFonts w:hint="eastAsia"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cs="仿宋_GB2312"/>
          <w:color w:val="auto"/>
          <w:kern w:val="2"/>
          <w:sz w:val="32"/>
          <w:szCs w:val="32"/>
          <w:highlight w:val="none"/>
          <w:lang w:val="en-US" w:eastAsia="zh-CN" w:bidi="ar-SA"/>
        </w:rPr>
        <w:t>问卷调查满意度分析</w:t>
      </w:r>
      <w:bookmarkEnd w:id="126"/>
      <w:bookmarkEnd w:id="127"/>
      <w:bookmarkEnd w:id="128"/>
      <w:bookmarkStart w:id="147" w:name="_GoBack"/>
      <w:bookmarkEnd w:id="147"/>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sectPr>
          <w:footerReference r:id="rId13" w:type="default"/>
          <w:pgSz w:w="11906" w:h="16838"/>
          <w:pgMar w:top="1440" w:right="1800" w:bottom="1440" w:left="1800" w:header="851" w:footer="722" w:gutter="0"/>
          <w:pgBorders>
            <w:top w:val="none" w:sz="0" w:space="0"/>
            <w:left w:val="none" w:sz="0" w:space="0"/>
            <w:bottom w:val="none" w:sz="0" w:space="0"/>
            <w:right w:val="none" w:sz="0" w:space="0"/>
          </w:pgBorders>
          <w:pgNumType w:fmt="numberInDash" w:start="1"/>
          <w:cols w:space="425" w:num="1"/>
          <w:docGrid w:type="lines" w:linePitch="435" w:charSpace="0"/>
        </w:sectPr>
      </w:pPr>
    </w:p>
    <w:p>
      <w:pPr>
        <w:keepNext w:val="0"/>
        <w:keepLines w:val="0"/>
        <w:pageBreakBefore w:val="0"/>
        <w:widowControl w:val="0"/>
        <w:kinsoku/>
        <w:overflowPunct/>
        <w:topLinePunct w:val="0"/>
        <w:autoSpaceDE/>
        <w:autoSpaceDN/>
        <w:bidi w:val="0"/>
        <w:spacing w:line="360" w:lineRule="auto"/>
        <w:ind w:firstLine="0" w:firstLineChars="0"/>
        <w:outlineLvl w:val="0"/>
        <w:rPr>
          <w:rFonts w:hint="eastAsia" w:ascii="黑体" w:hAnsi="黑体" w:eastAsia="黑体" w:cs="黑体"/>
          <w:b w:val="0"/>
          <w:bCs/>
          <w:color w:val="auto"/>
          <w:sz w:val="24"/>
          <w:szCs w:val="28"/>
          <w:highlight w:val="none"/>
        </w:rPr>
      </w:pPr>
      <w:bookmarkStart w:id="129" w:name="_Toc14125"/>
      <w:bookmarkStart w:id="130" w:name="_Toc27721"/>
      <w:bookmarkStart w:id="131" w:name="_Toc5834"/>
      <w:r>
        <w:rPr>
          <w:rFonts w:hint="eastAsia" w:ascii="黑体" w:hAnsi="黑体" w:eastAsia="黑体" w:cs="黑体"/>
          <w:b w:val="0"/>
          <w:bCs/>
          <w:color w:val="auto"/>
          <w:szCs w:val="28"/>
          <w:highlight w:val="none"/>
        </w:rPr>
        <w:t>附件1</w:t>
      </w:r>
      <w:r>
        <w:rPr>
          <w:rFonts w:hint="eastAsia" w:ascii="黑体" w:hAnsi="黑体" w:eastAsia="黑体" w:cs="黑体"/>
          <w:b w:val="0"/>
          <w:bCs/>
          <w:color w:val="auto"/>
          <w:szCs w:val="28"/>
          <w:highlight w:val="none"/>
          <w:lang w:val="en-US" w:eastAsia="zh-CN"/>
        </w:rPr>
        <w:t xml:space="preserve"> </w:t>
      </w:r>
      <w:r>
        <w:rPr>
          <w:rFonts w:hint="eastAsia" w:ascii="黑体" w:hAnsi="黑体" w:eastAsia="黑体" w:cs="黑体"/>
          <w:b w:val="0"/>
          <w:bCs/>
          <w:color w:val="auto"/>
          <w:szCs w:val="28"/>
          <w:highlight w:val="none"/>
        </w:rPr>
        <w:t>绩效评价指标体系</w:t>
      </w:r>
      <w:bookmarkEnd w:id="124"/>
      <w:bookmarkEnd w:id="125"/>
      <w:bookmarkEnd w:id="129"/>
      <w:bookmarkEnd w:id="130"/>
      <w:bookmarkEnd w:id="131"/>
    </w:p>
    <w:p>
      <w:pPr>
        <w:keepNext w:val="0"/>
        <w:keepLines w:val="0"/>
        <w:pageBreakBefore w:val="0"/>
        <w:widowControl w:val="0"/>
        <w:kinsoku/>
        <w:overflowPunct/>
        <w:topLinePunct w:val="0"/>
        <w:autoSpaceDE/>
        <w:autoSpaceDN/>
        <w:bidi w:val="0"/>
        <w:spacing w:line="360" w:lineRule="auto"/>
        <w:ind w:firstLine="0" w:firstLineChars="0"/>
        <w:jc w:val="center"/>
        <w:rPr>
          <w:rFonts w:asciiTheme="minorEastAsia" w:hAnsiTheme="minorEastAsia" w:eastAsiaTheme="minorEastAsia"/>
          <w:color w:val="auto"/>
          <w:sz w:val="32"/>
          <w:szCs w:val="28"/>
          <w:highlight w:val="none"/>
        </w:rPr>
      </w:pPr>
      <w:bookmarkStart w:id="132" w:name="_Toc4005"/>
      <w:bookmarkStart w:id="133" w:name="_Toc4940"/>
      <w:bookmarkStart w:id="134" w:name="_Toc32651"/>
      <w:bookmarkStart w:id="135" w:name="_Toc592"/>
      <w:bookmarkStart w:id="136" w:name="_Toc5760"/>
      <w:bookmarkStart w:id="137" w:name="_Toc27648"/>
      <w:bookmarkStart w:id="138" w:name="_Toc2129"/>
      <w:r>
        <w:rPr>
          <w:rFonts w:hint="eastAsia" w:cs="宋体" w:asciiTheme="minorEastAsia" w:hAnsiTheme="minorEastAsia" w:eastAsiaTheme="minorEastAsia"/>
          <w:b/>
          <w:color w:val="auto"/>
          <w:kern w:val="0"/>
          <w:sz w:val="32"/>
          <w:szCs w:val="32"/>
          <w:highlight w:val="none"/>
          <w:lang w:val="en-US" w:eastAsia="zh-CN"/>
        </w:rPr>
        <w:t>省委编办2021年业务费项目</w:t>
      </w:r>
      <w:r>
        <w:rPr>
          <w:rFonts w:hint="eastAsia" w:cs="宋体" w:asciiTheme="minorEastAsia" w:hAnsiTheme="minorEastAsia" w:eastAsiaTheme="minorEastAsia"/>
          <w:b/>
          <w:color w:val="auto"/>
          <w:sz w:val="32"/>
          <w:szCs w:val="32"/>
          <w:highlight w:val="none"/>
        </w:rPr>
        <w:t>绩</w:t>
      </w:r>
      <w:r>
        <w:rPr>
          <w:rFonts w:hint="eastAsia" w:cs="宋体" w:asciiTheme="minorEastAsia" w:hAnsiTheme="minorEastAsia" w:eastAsiaTheme="minorEastAsia"/>
          <w:b/>
          <w:color w:val="auto"/>
          <w:kern w:val="0"/>
          <w:sz w:val="32"/>
          <w:szCs w:val="32"/>
          <w:highlight w:val="none"/>
        </w:rPr>
        <w:t>效评价指标体系</w:t>
      </w:r>
      <w:bookmarkEnd w:id="132"/>
      <w:bookmarkEnd w:id="133"/>
      <w:bookmarkEnd w:id="134"/>
      <w:bookmarkEnd w:id="135"/>
      <w:bookmarkEnd w:id="136"/>
      <w:bookmarkEnd w:id="137"/>
      <w:bookmarkEnd w:id="138"/>
    </w:p>
    <w:tbl>
      <w:tblPr>
        <w:tblStyle w:val="16"/>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714"/>
        <w:gridCol w:w="1017"/>
        <w:gridCol w:w="708"/>
        <w:gridCol w:w="1425"/>
        <w:gridCol w:w="689"/>
        <w:gridCol w:w="2958"/>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54"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b/>
                <w:color w:val="auto"/>
                <w:kern w:val="0"/>
                <w:sz w:val="24"/>
                <w:szCs w:val="24"/>
                <w:highlight w:val="none"/>
                <w:lang w:bidi="ar"/>
              </w:rPr>
            </w:pPr>
            <w:r>
              <w:rPr>
                <w:rFonts w:hint="eastAsia" w:asciiTheme="minorEastAsia" w:hAnsiTheme="minorEastAsia" w:eastAsiaTheme="minorEastAsia" w:cstheme="minorEastAsia"/>
                <w:b/>
                <w:color w:val="auto"/>
                <w:kern w:val="0"/>
                <w:sz w:val="24"/>
                <w:szCs w:val="24"/>
                <w:highlight w:val="none"/>
                <w:lang w:bidi="ar"/>
              </w:rPr>
              <w:t>一级</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指标</w:t>
            </w:r>
          </w:p>
        </w:tc>
        <w:tc>
          <w:tcPr>
            <w:tcW w:w="257"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分值</w:t>
            </w:r>
          </w:p>
        </w:tc>
        <w:tc>
          <w:tcPr>
            <w:tcW w:w="366"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二级指标</w:t>
            </w:r>
          </w:p>
        </w:tc>
        <w:tc>
          <w:tcPr>
            <w:tcW w:w="25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分值</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三级指标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分值</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指标解释</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0"/>
                <w:sz w:val="24"/>
                <w:szCs w:val="24"/>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决策</w:t>
            </w:r>
          </w:p>
        </w:tc>
        <w:tc>
          <w:tcPr>
            <w:tcW w:w="257"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12</w:t>
            </w: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项目</w:t>
            </w:r>
            <w:r>
              <w:rPr>
                <w:rFonts w:hint="eastAsia" w:asciiTheme="minorEastAsia" w:hAnsiTheme="minorEastAsia" w:eastAsiaTheme="minorEastAsia" w:cstheme="minorEastAsia"/>
                <w:color w:val="auto"/>
                <w:kern w:val="0"/>
                <w:sz w:val="24"/>
                <w:szCs w:val="24"/>
                <w:highlight w:val="none"/>
                <w:lang w:eastAsia="zh-CN" w:bidi="ar"/>
              </w:rPr>
              <w:t>申报</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依据</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充分性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w:t>
            </w: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是否符合法律法规、相关政策、发展规划以及部门职责，用以反映和考核项目</w:t>
            </w: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依据情况。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①项目</w:t>
            </w: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符合国家法律法规、国民经济发展规划和相关政策，得0.5分，否则不得分；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②项目</w:t>
            </w: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符合行业发展规划和政策要求，得0.5分，否则不得分；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③项目</w:t>
            </w: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与部门职责范围相符，属于部门履职所需，得0.5分，否则不得分；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④项目属于公共财政支持范围，符合中央、地方事权支出责任划分原则，得0.5分，否则不得分</w:t>
            </w:r>
            <w:r>
              <w:rPr>
                <w:rFonts w:hint="eastAsia" w:asciiTheme="minorEastAsia" w:hAnsiTheme="minorEastAsia" w:eastAsiaTheme="minorEastAsia" w:cstheme="minorEastAsia"/>
                <w:color w:val="auto"/>
                <w:kern w:val="0"/>
                <w:sz w:val="24"/>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程序</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规范性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项目申请、设立过程是否符合相关要求，用以反映和考核项目</w:t>
            </w:r>
            <w:r>
              <w:rPr>
                <w:rFonts w:hint="eastAsia" w:asciiTheme="minorEastAsia" w:hAnsiTheme="minorEastAsia" w:eastAsiaTheme="minorEastAsia" w:cstheme="minorEastAsia"/>
                <w:color w:val="auto"/>
                <w:kern w:val="0"/>
                <w:sz w:val="24"/>
                <w:szCs w:val="24"/>
                <w:highlight w:val="none"/>
                <w:lang w:eastAsia="zh-CN" w:bidi="ar"/>
              </w:rPr>
              <w:t>申报</w:t>
            </w:r>
            <w:r>
              <w:rPr>
                <w:rFonts w:hint="eastAsia" w:asciiTheme="minorEastAsia" w:hAnsiTheme="minorEastAsia" w:eastAsiaTheme="minorEastAsia" w:cstheme="minorEastAsia"/>
                <w:color w:val="auto"/>
                <w:kern w:val="0"/>
                <w:sz w:val="24"/>
                <w:szCs w:val="24"/>
                <w:highlight w:val="none"/>
                <w:lang w:bidi="ar"/>
              </w:rPr>
              <w:t>的规范情况。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①项目按照规定的程序申请设立，得0.5分，否则不得分；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②审批文件、材料符合相关要求，得0.5分，否则不得分；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③事前已经过必要的可行性研究、专家论证、风险评估、绩效评估、集体决策，得1分，否则不得分。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绩效目标</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绩效目标</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合理性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项目所设定的绩效目标是否依据充分，是否符合客观实际，用以反映和考核项目绩效目标与项目实施的相符情况。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①项目有绩效目标，得0.5分，否则不得分；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②项目绩效目标与实际工作内容具有相关性，得0.5分，否则不得分；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③项目预期产出效益和效果符合正常的业绩水平，得0.5分，否则不得分；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④绩效目标与预算确定的项目投资额或资金量相匹配，得0.5分，否则不得分。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绩效</w:t>
            </w:r>
            <w:r>
              <w:rPr>
                <w:rFonts w:hint="eastAsia" w:asciiTheme="minorEastAsia" w:hAnsiTheme="minorEastAsia" w:eastAsiaTheme="minorEastAsia" w:cstheme="minorEastAsia"/>
                <w:color w:val="auto"/>
                <w:kern w:val="0"/>
                <w:sz w:val="24"/>
                <w:szCs w:val="24"/>
                <w:highlight w:val="none"/>
                <w:lang w:eastAsia="zh-CN" w:bidi="ar"/>
              </w:rPr>
              <w:t>指标</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明确性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依据绩效目标设定的绩效指标是否清晰、细化、可衡量等，用以反映和考核项目绩效目标的明细化情况。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①将项目绩效目标细化分解为具体的绩效指标，得1分，否则不得分；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②通过清晰、可衡量的指标值予以体现，得</w:t>
            </w:r>
            <w:r>
              <w:rPr>
                <w:rFonts w:hint="eastAsia" w:asciiTheme="minorEastAsia" w:hAnsiTheme="minorEastAsia" w:eastAsiaTheme="minorEastAsia" w:cstheme="minorEastAsia"/>
                <w:color w:val="auto"/>
                <w:kern w:val="0"/>
                <w:sz w:val="24"/>
                <w:szCs w:val="24"/>
                <w:highlight w:val="none"/>
                <w:lang w:val="en-US" w:eastAsia="zh-CN" w:bidi="ar"/>
              </w:rPr>
              <w:t>0.5</w:t>
            </w:r>
            <w:r>
              <w:rPr>
                <w:rFonts w:hint="eastAsia" w:asciiTheme="minorEastAsia" w:hAnsiTheme="minorEastAsia" w:eastAsiaTheme="minorEastAsia" w:cstheme="minorEastAsia"/>
                <w:color w:val="auto"/>
                <w:kern w:val="0"/>
                <w:sz w:val="24"/>
                <w:szCs w:val="24"/>
                <w:highlight w:val="none"/>
                <w:lang w:bidi="ar"/>
              </w:rPr>
              <w:t>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③绩效指标与项目目标任务数或计划数相对应，得</w:t>
            </w:r>
            <w:r>
              <w:rPr>
                <w:rFonts w:hint="eastAsia" w:asciiTheme="minorEastAsia" w:hAnsiTheme="minorEastAsia" w:eastAsiaTheme="minorEastAsia" w:cstheme="minorEastAsia"/>
                <w:color w:val="auto"/>
                <w:kern w:val="0"/>
                <w:sz w:val="24"/>
                <w:szCs w:val="24"/>
                <w:highlight w:val="none"/>
                <w:lang w:val="en-US" w:eastAsia="zh-CN" w:bidi="ar"/>
              </w:rPr>
              <w:t>0.5</w:t>
            </w:r>
            <w:r>
              <w:rPr>
                <w:rFonts w:hint="eastAsia" w:asciiTheme="minorEastAsia" w:hAnsiTheme="minorEastAsia" w:eastAsiaTheme="minorEastAsia" w:cstheme="minorEastAsia"/>
                <w:color w:val="auto"/>
                <w:kern w:val="0"/>
                <w:sz w:val="24"/>
                <w:szCs w:val="24"/>
                <w:highlight w:val="none"/>
                <w:lang w:bidi="ar"/>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资金投入</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预算编制</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科学性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项目预算编制是否经过科学论证、有明确标准，资金额度与年度目标是否相适应，用以反映和考核项目预算编制的科学性、合理性情况。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①预算编制经过科学论证，得0.5分，否则不得分；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②预算内容与项目内容匹配，得0.5分，否则不得分；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③预算额度测算依据充分，按照标准编制，得</w:t>
            </w:r>
            <w:r>
              <w:rPr>
                <w:rFonts w:hint="eastAsia" w:asciiTheme="minorEastAsia" w:hAnsiTheme="minorEastAsia" w:eastAsiaTheme="minorEastAsia" w:cstheme="minorEastAsia"/>
                <w:color w:val="auto"/>
                <w:kern w:val="0"/>
                <w:sz w:val="24"/>
                <w:szCs w:val="24"/>
                <w:highlight w:val="none"/>
                <w:lang w:val="en-US" w:eastAsia="zh-CN" w:bidi="ar"/>
              </w:rPr>
              <w:t>0.5</w:t>
            </w:r>
            <w:r>
              <w:rPr>
                <w:rFonts w:hint="eastAsia" w:asciiTheme="minorEastAsia" w:hAnsiTheme="minorEastAsia" w:eastAsiaTheme="minorEastAsia" w:cstheme="minorEastAsia"/>
                <w:color w:val="auto"/>
                <w:kern w:val="0"/>
                <w:sz w:val="24"/>
                <w:szCs w:val="24"/>
                <w:highlight w:val="none"/>
                <w:lang w:bidi="ar"/>
              </w:rPr>
              <w:t>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④预算确定的项目投资额或资金量与工作任务相匹配，得</w:t>
            </w:r>
            <w:r>
              <w:rPr>
                <w:rFonts w:hint="eastAsia" w:asciiTheme="minorEastAsia" w:hAnsiTheme="minorEastAsia" w:eastAsiaTheme="minorEastAsia" w:cstheme="minorEastAsia"/>
                <w:color w:val="auto"/>
                <w:kern w:val="0"/>
                <w:sz w:val="24"/>
                <w:szCs w:val="24"/>
                <w:highlight w:val="none"/>
                <w:lang w:val="en-US" w:eastAsia="zh-CN" w:bidi="ar"/>
              </w:rPr>
              <w:t>0.5</w:t>
            </w:r>
            <w:r>
              <w:rPr>
                <w:rFonts w:hint="eastAsia" w:asciiTheme="minorEastAsia" w:hAnsiTheme="minorEastAsia" w:eastAsiaTheme="minorEastAsia" w:cstheme="minorEastAsia"/>
                <w:color w:val="auto"/>
                <w:kern w:val="0"/>
                <w:sz w:val="24"/>
                <w:szCs w:val="24"/>
                <w:highlight w:val="none"/>
                <w:lang w:bidi="ar"/>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资金分配</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合理性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项目预算资金分配是否有测算依据，与</w:t>
            </w:r>
            <w:r>
              <w:rPr>
                <w:rFonts w:hint="eastAsia" w:asciiTheme="minorEastAsia" w:hAnsiTheme="minorEastAsia" w:eastAsiaTheme="minorEastAsia" w:cstheme="minorEastAsia"/>
                <w:color w:val="auto"/>
                <w:kern w:val="0"/>
                <w:sz w:val="24"/>
                <w:szCs w:val="24"/>
                <w:highlight w:val="none"/>
                <w:lang w:eastAsia="zh-CN" w:bidi="ar"/>
              </w:rPr>
              <w:t>预算</w:t>
            </w:r>
            <w:r>
              <w:rPr>
                <w:rFonts w:hint="eastAsia" w:asciiTheme="minorEastAsia" w:hAnsiTheme="minorEastAsia" w:eastAsiaTheme="minorEastAsia" w:cstheme="minorEastAsia"/>
                <w:color w:val="auto"/>
                <w:kern w:val="0"/>
                <w:sz w:val="24"/>
                <w:szCs w:val="24"/>
                <w:highlight w:val="none"/>
                <w:lang w:bidi="ar"/>
              </w:rPr>
              <w:t>单位或地方实际是否相适应，用以反映和考核项目预算资金分配的科学性、合理性情况。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①预算资金分配依据充分，得</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②资金分配额度合理，与项目单位或地方实际相适应，得</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过程</w:t>
            </w:r>
          </w:p>
        </w:tc>
        <w:tc>
          <w:tcPr>
            <w:tcW w:w="257"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2</w:t>
            </w:r>
            <w:r>
              <w:rPr>
                <w:rFonts w:hint="eastAsia" w:asciiTheme="minorEastAsia" w:hAnsiTheme="minorEastAsia" w:eastAsiaTheme="minorEastAsia" w:cstheme="minorEastAsia"/>
                <w:color w:val="auto"/>
                <w:kern w:val="0"/>
                <w:sz w:val="24"/>
                <w:szCs w:val="24"/>
                <w:highlight w:val="none"/>
                <w:lang w:val="en-US" w:eastAsia="zh-CN" w:bidi="ar"/>
              </w:rPr>
              <w:t>5</w:t>
            </w: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资金管理</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1</w:t>
            </w:r>
            <w:r>
              <w:rPr>
                <w:rFonts w:hint="eastAsia" w:asciiTheme="minorEastAsia" w:hAnsiTheme="minorEastAsia" w:eastAsiaTheme="minorEastAsia" w:cstheme="minorEastAsia"/>
                <w:color w:val="auto"/>
                <w:kern w:val="0"/>
                <w:sz w:val="24"/>
                <w:szCs w:val="24"/>
                <w:highlight w:val="none"/>
                <w:lang w:val="en-US" w:eastAsia="zh-CN" w:bidi="ar"/>
              </w:rPr>
              <w:t>5</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资金到位率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反映和考核资金实际到位情况。（资金到位率=实际到位资金/计划投入资金*100%）。</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指标分值=资金到位率*指标满分值</w:t>
            </w: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bidi="ar"/>
              </w:rPr>
              <w:t>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预算执行率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项目预算资金是否按照计划执行，用以反映或考核项目预算执行情况。预算执行率=（实际支出资金/实际到位资金）×100%。</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指标分值=预算执行率*指标满分值</w:t>
            </w:r>
            <w:r>
              <w:rPr>
                <w:rFonts w:hint="eastAsia"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bidi="ar"/>
              </w:rPr>
              <w:t>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资金使用</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合规性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项目资金使用是否符合相关的财务管理制度规定，用以反映和考核项目资金的规范运行情况。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①资金使用符合国家财经法规和财务管理制度以及有关专项资金管理办法的规定，得</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②资金的拨付有完整的审批程序和手续，得1分，否则不得分；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③资金使用符合项目预算批复或合同规定的用途，得</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④资金使用不存在截留、挤占、挪用、虚列支出等情况，得</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会计信息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质量</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反映和考核</w:t>
            </w:r>
            <w:r>
              <w:rPr>
                <w:rFonts w:hint="eastAsia" w:asciiTheme="minorEastAsia" w:hAnsiTheme="minorEastAsia" w:eastAsiaTheme="minorEastAsia" w:cstheme="minorEastAsia"/>
                <w:color w:val="auto"/>
                <w:kern w:val="0"/>
                <w:sz w:val="24"/>
                <w:szCs w:val="24"/>
                <w:highlight w:val="none"/>
                <w:lang w:eastAsia="zh-CN" w:bidi="ar"/>
              </w:rPr>
              <w:t>项目资金使用财务</w:t>
            </w:r>
            <w:r>
              <w:rPr>
                <w:rFonts w:hint="eastAsia" w:asciiTheme="minorEastAsia" w:hAnsiTheme="minorEastAsia" w:eastAsiaTheme="minorEastAsia" w:cstheme="minorEastAsia"/>
                <w:color w:val="auto"/>
                <w:kern w:val="0"/>
                <w:sz w:val="24"/>
                <w:szCs w:val="24"/>
                <w:highlight w:val="none"/>
                <w:lang w:bidi="ar"/>
              </w:rPr>
              <w:t>会计核算资料是否真实、完整、规范。</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①项目</w:t>
            </w:r>
            <w:r>
              <w:rPr>
                <w:rFonts w:hint="eastAsia" w:asciiTheme="minorEastAsia" w:hAnsiTheme="minorEastAsia" w:eastAsiaTheme="minorEastAsia" w:cstheme="minorEastAsia"/>
                <w:color w:val="auto"/>
                <w:kern w:val="0"/>
                <w:sz w:val="24"/>
                <w:szCs w:val="24"/>
                <w:highlight w:val="none"/>
                <w:lang w:eastAsia="zh-CN" w:bidi="ar"/>
              </w:rPr>
              <w:t>财务</w:t>
            </w:r>
            <w:r>
              <w:rPr>
                <w:rFonts w:hint="eastAsia" w:asciiTheme="minorEastAsia" w:hAnsiTheme="minorEastAsia" w:eastAsiaTheme="minorEastAsia" w:cstheme="minorEastAsia"/>
                <w:color w:val="auto"/>
                <w:kern w:val="0"/>
                <w:sz w:val="24"/>
                <w:szCs w:val="24"/>
                <w:highlight w:val="none"/>
                <w:lang w:bidi="ar"/>
              </w:rPr>
              <w:t>核算规范、符合行业要求，得</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分，否则不得分；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②财务会计信息真实、完整、凭证齐全，得</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组织实施</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bidi="ar"/>
              </w:rPr>
              <w:t>1</w:t>
            </w:r>
            <w:r>
              <w:rPr>
                <w:rFonts w:hint="eastAsia" w:asciiTheme="minorEastAsia" w:hAnsiTheme="minorEastAsia" w:eastAsiaTheme="minorEastAsia" w:cstheme="minorEastAsia"/>
                <w:color w:val="auto"/>
                <w:kern w:val="0"/>
                <w:sz w:val="24"/>
                <w:szCs w:val="24"/>
                <w:highlight w:val="none"/>
                <w:lang w:val="en-US" w:eastAsia="zh-CN" w:bidi="ar"/>
              </w:rPr>
              <w:t>0</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bidi="ar"/>
              </w:rPr>
              <w:t>管理制度</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健全性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项目实施单位的财务和业务管理制度是否健全，用以反映和考核财务和业务管理制度对项目顺利实施的保障情况。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bidi="ar"/>
              </w:rPr>
              <w:t>①</w:t>
            </w:r>
            <w:r>
              <w:rPr>
                <w:rFonts w:hint="eastAsia" w:asciiTheme="minorEastAsia" w:hAnsiTheme="minorEastAsia" w:eastAsiaTheme="minorEastAsia" w:cstheme="minorEastAsia"/>
                <w:color w:val="auto"/>
                <w:kern w:val="0"/>
                <w:sz w:val="24"/>
                <w:szCs w:val="24"/>
                <w:highlight w:val="none"/>
              </w:rPr>
              <w:t>已制定或具有相应的财务和业务管理制度</w:t>
            </w:r>
            <w:r>
              <w:rPr>
                <w:rFonts w:hint="eastAsia" w:asciiTheme="minorEastAsia" w:hAnsiTheme="minorEastAsia" w:eastAsiaTheme="minorEastAsia" w:cstheme="minorEastAsia"/>
                <w:color w:val="auto"/>
                <w:kern w:val="0"/>
                <w:sz w:val="24"/>
                <w:szCs w:val="24"/>
                <w:highlight w:val="none"/>
                <w:lang w:bidi="ar"/>
              </w:rPr>
              <w:t>，得1分，否则不得分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rPr>
              <w:br w:type="textWrapping"/>
            </w:r>
            <w:r>
              <w:rPr>
                <w:rFonts w:hint="eastAsia" w:asciiTheme="minorEastAsia" w:hAnsiTheme="minorEastAsia" w:eastAsiaTheme="minorEastAsia" w:cstheme="minorEastAsia"/>
                <w:color w:val="auto"/>
                <w:kern w:val="0"/>
                <w:sz w:val="24"/>
                <w:szCs w:val="24"/>
                <w:highlight w:val="none"/>
              </w:rPr>
              <w:t>②财务和业务管理制度合法、合规、完整</w:t>
            </w:r>
            <w:r>
              <w:rPr>
                <w:rFonts w:hint="eastAsia" w:asciiTheme="minorEastAsia" w:hAnsiTheme="minorEastAsia" w:eastAsiaTheme="minorEastAsia" w:cstheme="minorEastAsia"/>
                <w:color w:val="auto"/>
                <w:kern w:val="0"/>
                <w:sz w:val="24"/>
                <w:szCs w:val="24"/>
                <w:highlight w:val="none"/>
                <w:lang w:bidi="ar"/>
              </w:rPr>
              <w:t>，得1分，否则不得分。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firstLineChars="0"/>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制度执行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rPr>
              <w:t>有效性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rPr>
              <w:t>项目实施是否符合相关管理规定，用以反映和考核相关管理制度的有效执行情况。</w:t>
            </w:r>
          </w:p>
        </w:tc>
        <w:tc>
          <w:tcPr>
            <w:tcW w:w="1939"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rPr>
              <w:t>项目实施</w:t>
            </w:r>
            <w:r>
              <w:rPr>
                <w:rFonts w:hint="eastAsia" w:asciiTheme="minorEastAsia" w:hAnsiTheme="minorEastAsia" w:eastAsiaTheme="minorEastAsia" w:cstheme="minorEastAsia"/>
                <w:color w:val="auto"/>
                <w:sz w:val="24"/>
                <w:szCs w:val="24"/>
                <w:highlight w:val="none"/>
              </w:rPr>
              <w:t>遵守相关法律法规和业务管理规定，得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制度执行不到位，酌情扣分；未执行，此项不得分。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采购管理合规性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w:t>
            </w:r>
          </w:p>
        </w:tc>
        <w:tc>
          <w:tcPr>
            <w:tcW w:w="1065"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项目实施是否按计划和相关规定实行政府采购</w:t>
            </w:r>
            <w:r>
              <w:rPr>
                <w:rFonts w:hint="eastAsia" w:asciiTheme="minorEastAsia" w:hAnsiTheme="minorEastAsia" w:eastAsiaTheme="minorEastAsia" w:cstheme="minorEastAsia"/>
                <w:color w:val="auto"/>
                <w:kern w:val="0"/>
                <w:sz w:val="24"/>
                <w:szCs w:val="24"/>
                <w:highlight w:val="none"/>
                <w:lang w:eastAsia="zh-CN" w:bidi="ar"/>
              </w:rPr>
              <w:t>和</w:t>
            </w:r>
            <w:r>
              <w:rPr>
                <w:rFonts w:hint="eastAsia" w:asciiTheme="minorEastAsia" w:hAnsiTheme="minorEastAsia" w:eastAsiaTheme="minorEastAsia" w:cstheme="minorEastAsia"/>
                <w:color w:val="auto"/>
                <w:kern w:val="0"/>
                <w:sz w:val="24"/>
                <w:szCs w:val="24"/>
                <w:highlight w:val="none"/>
                <w:lang w:bidi="ar"/>
              </w:rPr>
              <w:t>招投标。</w:t>
            </w:r>
          </w:p>
        </w:tc>
        <w:tc>
          <w:tcPr>
            <w:tcW w:w="1939"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①政府采购申请规范得1分，否则不得分；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②</w:t>
            </w:r>
            <w:r>
              <w:rPr>
                <w:rFonts w:hint="eastAsia" w:asciiTheme="minorEastAsia" w:hAnsiTheme="minorEastAsia" w:eastAsiaTheme="minorEastAsia" w:cstheme="minorEastAsia"/>
                <w:color w:val="auto"/>
                <w:kern w:val="0"/>
                <w:sz w:val="24"/>
                <w:szCs w:val="24"/>
                <w:highlight w:val="none"/>
                <w:lang w:eastAsia="zh-CN" w:bidi="ar"/>
              </w:rPr>
              <w:t>采购</w:t>
            </w:r>
            <w:r>
              <w:rPr>
                <w:rFonts w:hint="eastAsia" w:asciiTheme="minorEastAsia" w:hAnsiTheme="minorEastAsia" w:eastAsiaTheme="minorEastAsia" w:cstheme="minorEastAsia"/>
                <w:color w:val="auto"/>
                <w:kern w:val="0"/>
                <w:sz w:val="24"/>
                <w:szCs w:val="24"/>
                <w:highlight w:val="none"/>
                <w:lang w:bidi="ar"/>
              </w:rPr>
              <w:t>信息发布规范及时得1分，否则不得分；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eastAsia="zh-CN" w:bidi="ar"/>
              </w:rPr>
              <w:t>③</w:t>
            </w:r>
            <w:r>
              <w:rPr>
                <w:rFonts w:hint="eastAsia" w:asciiTheme="minorEastAsia" w:hAnsiTheme="minorEastAsia" w:eastAsiaTheme="minorEastAsia" w:cstheme="minorEastAsia"/>
                <w:color w:val="auto"/>
                <w:kern w:val="0"/>
                <w:sz w:val="24"/>
                <w:szCs w:val="24"/>
                <w:highlight w:val="none"/>
                <w:lang w:bidi="ar"/>
              </w:rPr>
              <w:t>采购流程规范得1分，否则不得分。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项目档案</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管理</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考核项目档案建立及管理情况。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①项目涉及的相关管理单位</w:t>
            </w:r>
            <w:r>
              <w:rPr>
                <w:rFonts w:hint="eastAsia" w:asciiTheme="minorEastAsia" w:hAnsiTheme="minorEastAsia" w:eastAsiaTheme="minorEastAsia" w:cstheme="minorEastAsia"/>
                <w:color w:val="auto"/>
                <w:kern w:val="0"/>
                <w:sz w:val="24"/>
                <w:szCs w:val="24"/>
                <w:highlight w:val="none"/>
                <w:lang w:eastAsia="zh-CN" w:bidi="ar"/>
              </w:rPr>
              <w:t>制定档案管理制度，</w:t>
            </w:r>
            <w:r>
              <w:rPr>
                <w:rFonts w:hint="eastAsia" w:asciiTheme="minorEastAsia" w:hAnsiTheme="minorEastAsia" w:eastAsiaTheme="minorEastAsia" w:cstheme="minorEastAsia"/>
                <w:color w:val="auto"/>
                <w:kern w:val="0"/>
                <w:sz w:val="24"/>
                <w:szCs w:val="24"/>
                <w:highlight w:val="none"/>
                <w:lang w:bidi="ar"/>
              </w:rPr>
              <w:t>建立项目档案，得</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分，否则不得分；</w:t>
            </w:r>
            <w:r>
              <w:rPr>
                <w:rFonts w:hint="eastAsia" w:asciiTheme="minorEastAsia" w:hAnsiTheme="minorEastAsia" w:eastAsiaTheme="minorEastAsia" w:cstheme="minorEastAsia"/>
                <w:color w:val="auto"/>
                <w:kern w:val="0"/>
                <w:sz w:val="24"/>
                <w:szCs w:val="24"/>
                <w:highlight w:val="none"/>
                <w:lang w:bidi="ar"/>
              </w:rPr>
              <w:br w:type="textWrapping"/>
            </w:r>
            <w:r>
              <w:rPr>
                <w:rFonts w:hint="eastAsia" w:asciiTheme="minorEastAsia" w:hAnsiTheme="minorEastAsia" w:eastAsiaTheme="minorEastAsia" w:cstheme="minorEastAsia"/>
                <w:color w:val="auto"/>
                <w:kern w:val="0"/>
                <w:sz w:val="24"/>
                <w:szCs w:val="24"/>
                <w:highlight w:val="none"/>
                <w:lang w:bidi="ar"/>
              </w:rPr>
              <w:t>②项目档案资料完整齐全，管理规范，得</w:t>
            </w:r>
            <w:r>
              <w:rPr>
                <w:rFonts w:hint="eastAsia"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bidi="ar"/>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354"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产出</w:t>
            </w:r>
          </w:p>
        </w:tc>
        <w:tc>
          <w:tcPr>
            <w:tcW w:w="257"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37</w:t>
            </w: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产出数量</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17</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系统升级改造完成率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部门（单位）本年度实际完成机构编制实名制系统升级改造与绩效目标确定的机构编制实名制系统升级改造数的比值，用以反映和考核部门（单位）机构编制实名制系统升级改造工作完成情况</w:t>
            </w:r>
            <w:r>
              <w:rPr>
                <w:rFonts w:hint="eastAsia" w:asciiTheme="minorEastAsia" w:hAnsiTheme="minorEastAsia" w:eastAsiaTheme="minorEastAsia" w:cstheme="minorEastAsia"/>
                <w:color w:val="auto"/>
                <w:kern w:val="0"/>
                <w:sz w:val="24"/>
                <w:szCs w:val="24"/>
                <w:highlight w:val="none"/>
              </w:rPr>
              <w:t>。</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系统升级改造完成率=（实际完成数/计划完成数）*100%；指标得分=系统升级改造完成率*指标满分值</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培训任务完成率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部门（单位）本年度实际</w:t>
            </w:r>
            <w:r>
              <w:rPr>
                <w:rFonts w:hint="eastAsia" w:asciiTheme="minorEastAsia" w:hAnsiTheme="minorEastAsia" w:eastAsiaTheme="minorEastAsia" w:cstheme="minorEastAsia"/>
                <w:color w:val="auto"/>
                <w:kern w:val="0"/>
                <w:sz w:val="24"/>
                <w:szCs w:val="24"/>
                <w:highlight w:val="none"/>
                <w:lang w:eastAsia="zh-CN"/>
              </w:rPr>
              <w:t>开展会议培训次</w:t>
            </w:r>
            <w:r>
              <w:rPr>
                <w:rFonts w:hint="eastAsia" w:asciiTheme="minorEastAsia" w:hAnsiTheme="minorEastAsia" w:eastAsiaTheme="minorEastAsia" w:cstheme="minorEastAsia"/>
                <w:color w:val="auto"/>
                <w:kern w:val="0"/>
                <w:sz w:val="24"/>
                <w:szCs w:val="24"/>
                <w:highlight w:val="none"/>
              </w:rPr>
              <w:t>数</w:t>
            </w:r>
            <w:r>
              <w:rPr>
                <w:rFonts w:hint="eastAsia" w:asciiTheme="minorEastAsia" w:hAnsiTheme="minorEastAsia" w:eastAsiaTheme="minorEastAsia" w:cstheme="minorEastAsia"/>
                <w:color w:val="auto"/>
                <w:kern w:val="0"/>
                <w:sz w:val="24"/>
                <w:szCs w:val="24"/>
                <w:highlight w:val="none"/>
                <w:lang w:eastAsia="zh-CN"/>
              </w:rPr>
              <w:t>、人数</w:t>
            </w:r>
            <w:r>
              <w:rPr>
                <w:rFonts w:hint="eastAsia" w:asciiTheme="minorEastAsia" w:hAnsiTheme="minorEastAsia" w:eastAsiaTheme="minorEastAsia" w:cstheme="minorEastAsia"/>
                <w:color w:val="auto"/>
                <w:kern w:val="0"/>
                <w:sz w:val="24"/>
                <w:szCs w:val="24"/>
                <w:highlight w:val="none"/>
              </w:rPr>
              <w:t>与绩效目标确定的</w:t>
            </w:r>
            <w:r>
              <w:rPr>
                <w:rFonts w:hint="eastAsia" w:asciiTheme="minorEastAsia" w:hAnsiTheme="minorEastAsia" w:eastAsiaTheme="minorEastAsia" w:cstheme="minorEastAsia"/>
                <w:color w:val="auto"/>
                <w:kern w:val="0"/>
                <w:sz w:val="24"/>
                <w:szCs w:val="24"/>
                <w:highlight w:val="none"/>
                <w:lang w:eastAsia="zh-CN"/>
              </w:rPr>
              <w:t>会议培训次</w:t>
            </w:r>
            <w:r>
              <w:rPr>
                <w:rFonts w:hint="eastAsia" w:asciiTheme="minorEastAsia" w:hAnsiTheme="minorEastAsia" w:eastAsiaTheme="minorEastAsia" w:cstheme="minorEastAsia"/>
                <w:color w:val="auto"/>
                <w:kern w:val="0"/>
                <w:sz w:val="24"/>
                <w:szCs w:val="24"/>
                <w:highlight w:val="none"/>
              </w:rPr>
              <w:t>数</w:t>
            </w:r>
            <w:r>
              <w:rPr>
                <w:rFonts w:hint="eastAsia" w:asciiTheme="minorEastAsia" w:hAnsiTheme="minorEastAsia" w:eastAsiaTheme="minorEastAsia" w:cstheme="minorEastAsia"/>
                <w:color w:val="auto"/>
                <w:kern w:val="0"/>
                <w:sz w:val="24"/>
                <w:szCs w:val="24"/>
                <w:highlight w:val="none"/>
                <w:lang w:eastAsia="zh-CN"/>
              </w:rPr>
              <w:t>、人数</w:t>
            </w:r>
            <w:r>
              <w:rPr>
                <w:rFonts w:hint="eastAsia" w:asciiTheme="minorEastAsia" w:hAnsiTheme="minorEastAsia" w:eastAsiaTheme="minorEastAsia" w:cstheme="minorEastAsia"/>
                <w:color w:val="auto"/>
                <w:kern w:val="0"/>
                <w:sz w:val="24"/>
                <w:szCs w:val="24"/>
                <w:highlight w:val="none"/>
              </w:rPr>
              <w:t>的比值，用以反映和考核部门（单位）</w:t>
            </w:r>
            <w:r>
              <w:rPr>
                <w:rFonts w:hint="eastAsia" w:asciiTheme="minorEastAsia" w:hAnsiTheme="minorEastAsia" w:eastAsiaTheme="minorEastAsia" w:cstheme="minorEastAsia"/>
                <w:color w:val="auto"/>
                <w:kern w:val="0"/>
                <w:sz w:val="24"/>
                <w:szCs w:val="24"/>
                <w:highlight w:val="none"/>
                <w:lang w:eastAsia="zh-CN"/>
              </w:rPr>
              <w:t>会议</w:t>
            </w:r>
            <w:r>
              <w:rPr>
                <w:rFonts w:hint="eastAsia" w:asciiTheme="minorEastAsia" w:hAnsiTheme="minorEastAsia" w:eastAsiaTheme="minorEastAsia" w:cstheme="minorEastAsia"/>
                <w:color w:val="auto"/>
                <w:sz w:val="24"/>
                <w:szCs w:val="24"/>
                <w:highlight w:val="none"/>
                <w:lang w:eastAsia="zh-CN"/>
              </w:rPr>
              <w:t>培训任务</w:t>
            </w:r>
            <w:r>
              <w:rPr>
                <w:rFonts w:hint="eastAsia" w:asciiTheme="minorEastAsia" w:hAnsiTheme="minorEastAsia" w:eastAsiaTheme="minorEastAsia" w:cstheme="minorEastAsia"/>
                <w:color w:val="auto"/>
                <w:kern w:val="0"/>
                <w:sz w:val="24"/>
                <w:szCs w:val="24"/>
                <w:highlight w:val="none"/>
              </w:rPr>
              <w:t>完成情况。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培训任务完成率=（实际完成数/计划完成数）*100%；指标得分=培训任务完成率*指标满分值</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考察调研任务完成率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4</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rPr>
              <w:t>部门（单位）本年度</w:t>
            </w:r>
            <w:r>
              <w:rPr>
                <w:rFonts w:hint="eastAsia" w:asciiTheme="minorEastAsia" w:hAnsiTheme="minorEastAsia" w:eastAsiaTheme="minorEastAsia" w:cstheme="minorEastAsia"/>
                <w:color w:val="auto"/>
                <w:kern w:val="0"/>
                <w:sz w:val="24"/>
                <w:szCs w:val="24"/>
                <w:highlight w:val="none"/>
                <w:lang w:eastAsia="zh-CN"/>
              </w:rPr>
              <w:t>实际开展的考察调研次数</w:t>
            </w:r>
            <w:r>
              <w:rPr>
                <w:rFonts w:hint="eastAsia" w:asciiTheme="minorEastAsia" w:hAnsiTheme="minorEastAsia" w:eastAsiaTheme="minorEastAsia" w:cstheme="minorEastAsia"/>
                <w:color w:val="auto"/>
                <w:kern w:val="0"/>
                <w:sz w:val="24"/>
                <w:szCs w:val="24"/>
                <w:highlight w:val="none"/>
              </w:rPr>
              <w:t>与绩效目标确定的</w:t>
            </w:r>
            <w:r>
              <w:rPr>
                <w:rFonts w:hint="eastAsia" w:asciiTheme="minorEastAsia" w:hAnsiTheme="minorEastAsia" w:eastAsiaTheme="minorEastAsia" w:cstheme="minorEastAsia"/>
                <w:color w:val="auto"/>
                <w:kern w:val="0"/>
                <w:sz w:val="24"/>
                <w:szCs w:val="24"/>
                <w:highlight w:val="none"/>
                <w:lang w:eastAsia="zh-CN"/>
              </w:rPr>
              <w:t>考察调研次数</w:t>
            </w:r>
            <w:r>
              <w:rPr>
                <w:rFonts w:hint="eastAsia" w:asciiTheme="minorEastAsia" w:hAnsiTheme="minorEastAsia" w:eastAsiaTheme="minorEastAsia" w:cstheme="minorEastAsia"/>
                <w:color w:val="auto"/>
                <w:kern w:val="0"/>
                <w:sz w:val="24"/>
                <w:szCs w:val="24"/>
                <w:highlight w:val="none"/>
              </w:rPr>
              <w:t>的比值，用以反映和考核部门（单位）</w:t>
            </w:r>
            <w:r>
              <w:rPr>
                <w:rFonts w:hint="eastAsia" w:asciiTheme="minorEastAsia" w:hAnsiTheme="minorEastAsia" w:eastAsiaTheme="minorEastAsia" w:cstheme="minorEastAsia"/>
                <w:color w:val="auto"/>
                <w:kern w:val="0"/>
                <w:sz w:val="24"/>
                <w:szCs w:val="24"/>
                <w:highlight w:val="none"/>
                <w:lang w:eastAsia="zh-CN" w:bidi="ar"/>
              </w:rPr>
              <w:t>考察调研任务的完成</w:t>
            </w:r>
            <w:r>
              <w:rPr>
                <w:rFonts w:hint="eastAsia" w:asciiTheme="minorEastAsia" w:hAnsiTheme="minorEastAsia" w:eastAsiaTheme="minorEastAsia" w:cstheme="minorEastAsia"/>
                <w:color w:val="auto"/>
                <w:kern w:val="0"/>
                <w:sz w:val="24"/>
                <w:szCs w:val="24"/>
                <w:highlight w:val="none"/>
              </w:rPr>
              <w:t>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eastAsia="zh-CN" w:bidi="ar"/>
              </w:rPr>
              <w:t>考察调研任务完成率</w:t>
            </w:r>
            <w:r>
              <w:rPr>
                <w:rFonts w:hint="eastAsia" w:asciiTheme="minorEastAsia" w:hAnsiTheme="minorEastAsia" w:eastAsiaTheme="minorEastAsia" w:cstheme="minorEastAsia"/>
                <w:color w:val="auto"/>
                <w:sz w:val="24"/>
                <w:szCs w:val="24"/>
                <w:highlight w:val="none"/>
                <w:lang w:eastAsia="zh-CN"/>
              </w:rPr>
              <w:t>=（实际完成数/计划完成数）*100%；指标得分=</w:t>
            </w:r>
            <w:r>
              <w:rPr>
                <w:rFonts w:hint="eastAsia" w:asciiTheme="minorEastAsia" w:hAnsiTheme="minorEastAsia" w:eastAsiaTheme="minorEastAsia" w:cstheme="minorEastAsia"/>
                <w:color w:val="auto"/>
                <w:kern w:val="0"/>
                <w:sz w:val="24"/>
                <w:szCs w:val="24"/>
                <w:highlight w:val="none"/>
                <w:lang w:eastAsia="zh-CN" w:bidi="ar"/>
              </w:rPr>
              <w:t>考察调研任务完成率</w:t>
            </w:r>
            <w:r>
              <w:rPr>
                <w:rFonts w:hint="eastAsia" w:asciiTheme="minorEastAsia" w:hAnsiTheme="minorEastAsia" w:eastAsiaTheme="minorEastAsia" w:cstheme="minorEastAsia"/>
                <w:color w:val="auto"/>
                <w:sz w:val="24"/>
                <w:szCs w:val="24"/>
                <w:highlight w:val="none"/>
                <w:lang w:eastAsia="zh-CN"/>
              </w:rPr>
              <w:t>*指标满分值</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分，指标得分不超过满分</w:t>
            </w:r>
            <w:r>
              <w:rPr>
                <w:rFonts w:hint="eastAsia" w:asciiTheme="minorEastAsia" w:hAnsiTheme="minorEastAsia" w:eastAsiaTheme="minorEastAsia" w:cstheme="minorEastAsia"/>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机构改革任务完成率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rPr>
              <w:t>部门（单位）本年度</w:t>
            </w:r>
            <w:r>
              <w:rPr>
                <w:rFonts w:hint="eastAsia" w:asciiTheme="minorEastAsia" w:hAnsiTheme="minorEastAsia" w:eastAsiaTheme="minorEastAsia" w:cstheme="minorEastAsia"/>
                <w:color w:val="auto"/>
                <w:kern w:val="0"/>
                <w:sz w:val="24"/>
                <w:szCs w:val="24"/>
                <w:highlight w:val="none"/>
                <w:lang w:eastAsia="zh-CN" w:bidi="ar"/>
              </w:rPr>
              <w:t>机构改革任务完成</w:t>
            </w:r>
            <w:r>
              <w:rPr>
                <w:rFonts w:hint="eastAsia" w:asciiTheme="minorEastAsia" w:hAnsiTheme="minorEastAsia" w:eastAsiaTheme="minorEastAsia" w:cstheme="minorEastAsia"/>
                <w:color w:val="auto"/>
                <w:kern w:val="0"/>
                <w:sz w:val="24"/>
                <w:szCs w:val="24"/>
                <w:highlight w:val="none"/>
              </w:rPr>
              <w:t>数与绩效目标确定的</w:t>
            </w:r>
            <w:r>
              <w:rPr>
                <w:rFonts w:hint="eastAsia" w:asciiTheme="minorEastAsia" w:hAnsiTheme="minorEastAsia" w:eastAsiaTheme="minorEastAsia" w:cstheme="minorEastAsia"/>
                <w:color w:val="auto"/>
                <w:kern w:val="0"/>
                <w:sz w:val="24"/>
                <w:szCs w:val="24"/>
                <w:highlight w:val="none"/>
                <w:lang w:eastAsia="zh-CN" w:bidi="ar"/>
              </w:rPr>
              <w:t>机构改革任务完成</w:t>
            </w:r>
            <w:r>
              <w:rPr>
                <w:rFonts w:hint="eastAsia" w:asciiTheme="minorEastAsia" w:hAnsiTheme="minorEastAsia" w:eastAsiaTheme="minorEastAsia" w:cstheme="minorEastAsia"/>
                <w:color w:val="auto"/>
                <w:kern w:val="0"/>
                <w:sz w:val="24"/>
                <w:szCs w:val="24"/>
                <w:highlight w:val="none"/>
              </w:rPr>
              <w:t>数的比值，用以反映和考核部门（单位）</w:t>
            </w:r>
            <w:r>
              <w:rPr>
                <w:rFonts w:hint="eastAsia" w:asciiTheme="minorEastAsia" w:hAnsiTheme="minorEastAsia" w:eastAsiaTheme="minorEastAsia" w:cstheme="minorEastAsia"/>
                <w:color w:val="auto"/>
                <w:kern w:val="0"/>
                <w:sz w:val="24"/>
                <w:szCs w:val="24"/>
                <w:highlight w:val="none"/>
                <w:lang w:eastAsia="zh-CN" w:bidi="ar"/>
              </w:rPr>
              <w:t>机构改革任务完成</w:t>
            </w:r>
            <w:r>
              <w:rPr>
                <w:rFonts w:hint="eastAsia" w:asciiTheme="minorEastAsia" w:hAnsiTheme="minorEastAsia" w:eastAsiaTheme="minorEastAsia" w:cstheme="minorEastAsia"/>
                <w:color w:val="auto"/>
                <w:kern w:val="0"/>
                <w:sz w:val="24"/>
                <w:szCs w:val="24"/>
                <w:highlight w:val="none"/>
              </w:rPr>
              <w:t>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eastAsia="zh-CN" w:bidi="ar"/>
              </w:rPr>
              <w:t>机构改革任务完成</w:t>
            </w:r>
            <w:r>
              <w:rPr>
                <w:rFonts w:hint="eastAsia" w:asciiTheme="minorEastAsia" w:hAnsiTheme="minorEastAsia" w:eastAsiaTheme="minorEastAsia" w:cstheme="minorEastAsia"/>
                <w:color w:val="auto"/>
                <w:sz w:val="24"/>
                <w:szCs w:val="24"/>
                <w:highlight w:val="none"/>
                <w:lang w:eastAsia="zh-CN"/>
              </w:rPr>
              <w:t>率=（实际完成数/计划完成数）*100%；指标得分=</w:t>
            </w:r>
            <w:r>
              <w:rPr>
                <w:rFonts w:hint="eastAsia" w:asciiTheme="minorEastAsia" w:hAnsiTheme="minorEastAsia" w:eastAsiaTheme="minorEastAsia" w:cstheme="minorEastAsia"/>
                <w:color w:val="auto"/>
                <w:kern w:val="0"/>
                <w:sz w:val="24"/>
                <w:szCs w:val="24"/>
                <w:highlight w:val="none"/>
                <w:lang w:eastAsia="zh-CN" w:bidi="ar"/>
              </w:rPr>
              <w:t>机构改革任务完成</w:t>
            </w:r>
            <w:r>
              <w:rPr>
                <w:rFonts w:hint="eastAsia" w:asciiTheme="minorEastAsia" w:hAnsiTheme="minorEastAsia" w:eastAsiaTheme="minorEastAsia" w:cstheme="minorEastAsia"/>
                <w:color w:val="auto"/>
                <w:sz w:val="24"/>
                <w:szCs w:val="24"/>
                <w:highlight w:val="none"/>
                <w:lang w:eastAsia="zh-CN"/>
              </w:rPr>
              <w:t>率*指标满分值</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产出质量</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12</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实名制管理覆盖率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sz w:val="24"/>
                <w:szCs w:val="24"/>
                <w:highlight w:val="none"/>
                <w:lang w:eastAsia="zh-CN"/>
              </w:rPr>
              <w:t>机构编制实名制系统升级改造</w:t>
            </w:r>
            <w:r>
              <w:rPr>
                <w:rFonts w:hint="eastAsia" w:asciiTheme="minorEastAsia" w:hAnsiTheme="minorEastAsia" w:eastAsiaTheme="minorEastAsia" w:cstheme="minorEastAsia"/>
                <w:color w:val="auto"/>
                <w:kern w:val="0"/>
                <w:sz w:val="24"/>
                <w:szCs w:val="24"/>
                <w:highlight w:val="none"/>
              </w:rPr>
              <w:t>质量目标的实现程度。</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实名制管理覆盖率达</w:t>
            </w:r>
            <w:r>
              <w:rPr>
                <w:rFonts w:hint="eastAsia" w:asciiTheme="minorEastAsia" w:hAnsiTheme="minorEastAsia" w:eastAsiaTheme="minorEastAsia" w:cstheme="minorEastAsia"/>
                <w:color w:val="auto"/>
                <w:sz w:val="24"/>
                <w:szCs w:val="24"/>
                <w:highlight w:val="none"/>
                <w:lang w:val="en-US" w:eastAsia="zh-CN"/>
              </w:rPr>
              <w:t>100%</w:t>
            </w:r>
            <w:r>
              <w:rPr>
                <w:rFonts w:hint="eastAsia" w:asciiTheme="minorEastAsia" w:hAnsiTheme="minorEastAsia" w:eastAsiaTheme="minorEastAsia" w:cstheme="minorEastAsia"/>
                <w:color w:val="auto"/>
                <w:sz w:val="24"/>
                <w:szCs w:val="24"/>
                <w:highlight w:val="none"/>
                <w:lang w:eastAsia="zh-CN"/>
              </w:rPr>
              <w:t>的，得</w:t>
            </w:r>
            <w:r>
              <w:rPr>
                <w:rFonts w:hint="eastAsia" w:asciiTheme="minorEastAsia" w:hAnsiTheme="minorEastAsia" w:eastAsiaTheme="minorEastAsia" w:cstheme="minorEastAsia"/>
                <w:color w:val="auto"/>
                <w:sz w:val="24"/>
                <w:szCs w:val="24"/>
                <w:highlight w:val="none"/>
                <w:lang w:val="en-US" w:eastAsia="zh-CN"/>
              </w:rPr>
              <w:t>3分；覆盖率达不到100%的，按实际覆盖率赋分</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系统正常运行率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项目</w:t>
            </w:r>
            <w:r>
              <w:rPr>
                <w:rFonts w:hint="eastAsia" w:asciiTheme="minorEastAsia" w:hAnsiTheme="minorEastAsia" w:eastAsiaTheme="minorEastAsia" w:cstheme="minorEastAsia"/>
                <w:color w:val="auto"/>
                <w:kern w:val="0"/>
                <w:sz w:val="24"/>
                <w:szCs w:val="24"/>
                <w:highlight w:val="none"/>
              </w:rPr>
              <w:t>实施后</w:t>
            </w:r>
            <w:r>
              <w:rPr>
                <w:rFonts w:hint="eastAsia" w:asciiTheme="minorEastAsia" w:hAnsiTheme="minorEastAsia" w:eastAsiaTheme="minorEastAsia" w:cstheme="minorEastAsia"/>
                <w:color w:val="auto"/>
                <w:sz w:val="24"/>
                <w:szCs w:val="24"/>
                <w:highlight w:val="none"/>
                <w:lang w:eastAsia="zh-CN"/>
              </w:rPr>
              <w:t>机构编制实名制系统</w:t>
            </w:r>
            <w:r>
              <w:rPr>
                <w:rFonts w:hint="eastAsia" w:asciiTheme="minorEastAsia" w:hAnsiTheme="minorEastAsia" w:eastAsiaTheme="minorEastAsia" w:cstheme="minorEastAsia"/>
                <w:color w:val="auto"/>
                <w:kern w:val="0"/>
                <w:sz w:val="24"/>
                <w:szCs w:val="24"/>
                <w:highlight w:val="none"/>
              </w:rPr>
              <w:t>是否能</w:t>
            </w:r>
            <w:r>
              <w:rPr>
                <w:rFonts w:hint="eastAsia" w:asciiTheme="minorEastAsia" w:hAnsiTheme="minorEastAsia" w:eastAsiaTheme="minorEastAsia" w:cstheme="minorEastAsia"/>
                <w:color w:val="auto"/>
                <w:kern w:val="0"/>
                <w:sz w:val="24"/>
                <w:szCs w:val="24"/>
                <w:highlight w:val="none"/>
                <w:lang w:eastAsia="zh-CN"/>
              </w:rPr>
              <w:t>正常运行，</w:t>
            </w: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sz w:val="24"/>
                <w:szCs w:val="24"/>
                <w:highlight w:val="none"/>
                <w:lang w:eastAsia="zh-CN"/>
              </w:rPr>
              <w:t>实名制系统升级改造及维护</w:t>
            </w:r>
            <w:r>
              <w:rPr>
                <w:rFonts w:hint="eastAsia" w:asciiTheme="minorEastAsia" w:hAnsiTheme="minorEastAsia" w:eastAsiaTheme="minorEastAsia" w:cstheme="minorEastAsia"/>
                <w:color w:val="auto"/>
                <w:kern w:val="0"/>
                <w:sz w:val="24"/>
                <w:szCs w:val="24"/>
                <w:highlight w:val="none"/>
              </w:rPr>
              <w:t>质量目标的实现程度。</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通过项目实施，系统正常运行率为</w:t>
            </w:r>
            <w:r>
              <w:rPr>
                <w:rFonts w:hint="eastAsia" w:asciiTheme="minorEastAsia" w:hAnsiTheme="minorEastAsia" w:eastAsiaTheme="minorEastAsia" w:cstheme="minorEastAsia"/>
                <w:color w:val="auto"/>
                <w:sz w:val="24"/>
                <w:szCs w:val="24"/>
                <w:highlight w:val="none"/>
                <w:lang w:val="en-US" w:eastAsia="zh-CN"/>
              </w:rPr>
              <w:t>100%，年度无使用故障的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lang w:val="en-US" w:eastAsia="zh-CN"/>
              </w:rPr>
              <w:t>运行率达不到100%的，按实际运行率赋分</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维修（护）质量达标率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sz w:val="24"/>
                <w:szCs w:val="24"/>
                <w:highlight w:val="none"/>
                <w:lang w:eastAsia="zh-CN"/>
              </w:rPr>
              <w:t>机构编制实名制系统升级改造、平台维修（护）</w:t>
            </w:r>
            <w:r>
              <w:rPr>
                <w:rFonts w:hint="eastAsia" w:asciiTheme="minorEastAsia" w:hAnsiTheme="minorEastAsia" w:eastAsiaTheme="minorEastAsia" w:cstheme="minorEastAsia"/>
                <w:color w:val="auto"/>
                <w:kern w:val="0"/>
                <w:sz w:val="24"/>
                <w:szCs w:val="24"/>
                <w:highlight w:val="none"/>
              </w:rPr>
              <w:t>质量目标的实现程度。</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系统维修（护）质量达标率达</w:t>
            </w:r>
            <w:r>
              <w:rPr>
                <w:rFonts w:hint="eastAsia" w:asciiTheme="minorEastAsia" w:hAnsiTheme="minorEastAsia" w:eastAsiaTheme="minorEastAsia" w:cstheme="minorEastAsia"/>
                <w:color w:val="auto"/>
                <w:sz w:val="24"/>
                <w:szCs w:val="24"/>
                <w:highlight w:val="none"/>
                <w:lang w:val="en-US" w:eastAsia="zh-CN"/>
              </w:rPr>
              <w:t>100%</w:t>
            </w:r>
            <w:r>
              <w:rPr>
                <w:rFonts w:hint="eastAsia" w:asciiTheme="minorEastAsia" w:hAnsiTheme="minorEastAsia" w:eastAsiaTheme="minorEastAsia" w:cstheme="minorEastAsia"/>
                <w:color w:val="auto"/>
                <w:sz w:val="24"/>
                <w:szCs w:val="24"/>
                <w:highlight w:val="none"/>
                <w:lang w:eastAsia="zh-CN"/>
              </w:rPr>
              <w:t>的，得</w:t>
            </w:r>
            <w:r>
              <w:rPr>
                <w:rFonts w:hint="eastAsia" w:asciiTheme="minorEastAsia" w:hAnsiTheme="minorEastAsia" w:eastAsiaTheme="minorEastAsia" w:cstheme="minorEastAsia"/>
                <w:color w:val="auto"/>
                <w:sz w:val="24"/>
                <w:szCs w:val="24"/>
                <w:highlight w:val="none"/>
                <w:lang w:val="en-US" w:eastAsia="zh-CN"/>
              </w:rPr>
              <w:t>2分；</w:t>
            </w:r>
            <w:r>
              <w:rPr>
                <w:rFonts w:hint="eastAsia" w:asciiTheme="minorEastAsia" w:hAnsiTheme="minorEastAsia" w:eastAsiaTheme="minorEastAsia" w:cstheme="minorEastAsia"/>
                <w:color w:val="auto"/>
                <w:sz w:val="24"/>
                <w:szCs w:val="24"/>
                <w:highlight w:val="none"/>
                <w:lang w:eastAsia="zh-CN"/>
              </w:rPr>
              <w:t>系统维修（护）质量达标率达</w:t>
            </w:r>
            <w:r>
              <w:rPr>
                <w:rFonts w:hint="eastAsia" w:asciiTheme="minorEastAsia" w:hAnsiTheme="minorEastAsia" w:eastAsiaTheme="minorEastAsia" w:cstheme="minorEastAsia"/>
                <w:color w:val="auto"/>
                <w:sz w:val="24"/>
                <w:szCs w:val="24"/>
                <w:highlight w:val="none"/>
                <w:lang w:val="en-US" w:eastAsia="zh-CN"/>
              </w:rPr>
              <w:t>不到100%的，按实际达标率赋分</w:t>
            </w:r>
            <w:r>
              <w:rPr>
                <w:rFonts w:hint="eastAsia" w:asciiTheme="minorEastAsia" w:hAnsiTheme="minorEastAsia" w:eastAsiaTheme="minorEastAsia" w:cstheme="min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eastAsia="zh-CN" w:bidi="ar"/>
              </w:rPr>
              <w:t>培训覆盖率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kern w:val="0"/>
                <w:sz w:val="24"/>
                <w:szCs w:val="24"/>
                <w:highlight w:val="none"/>
                <w:lang w:eastAsia="zh-CN"/>
              </w:rPr>
              <w:t>培训人员的覆盖程度</w:t>
            </w:r>
            <w:r>
              <w:rPr>
                <w:rFonts w:hint="eastAsia" w:asciiTheme="minorEastAsia" w:hAnsiTheme="minorEastAsia" w:eastAsiaTheme="minorEastAsia" w:cstheme="minorEastAsia"/>
                <w:color w:val="auto"/>
                <w:kern w:val="0"/>
                <w:sz w:val="24"/>
                <w:szCs w:val="24"/>
                <w:highlight w:val="none"/>
              </w:rPr>
              <w:t>。</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eastAsia="zh-CN"/>
              </w:rPr>
              <w:t>培训</w:t>
            </w:r>
            <w:r>
              <w:rPr>
                <w:rFonts w:hint="eastAsia" w:asciiTheme="minorEastAsia" w:hAnsiTheme="minorEastAsia" w:eastAsiaTheme="minorEastAsia" w:cstheme="minorEastAsia"/>
                <w:color w:val="auto"/>
                <w:kern w:val="0"/>
                <w:sz w:val="24"/>
                <w:szCs w:val="24"/>
                <w:highlight w:val="none"/>
                <w:lang w:eastAsia="zh-CN"/>
              </w:rPr>
              <w:t>覆盖省直各单位，地州市、县，</w:t>
            </w:r>
            <w:r>
              <w:rPr>
                <w:rFonts w:hint="eastAsia" w:asciiTheme="minorEastAsia" w:hAnsiTheme="minorEastAsia" w:eastAsiaTheme="minorEastAsia" w:cstheme="minorEastAsia"/>
                <w:color w:val="auto"/>
                <w:sz w:val="24"/>
                <w:szCs w:val="24"/>
                <w:highlight w:val="none"/>
                <w:lang w:eastAsia="zh-CN"/>
              </w:rPr>
              <w:t>覆盖率达</w:t>
            </w:r>
            <w:r>
              <w:rPr>
                <w:rFonts w:hint="eastAsia" w:asciiTheme="minorEastAsia" w:hAnsiTheme="minorEastAsia" w:eastAsiaTheme="minorEastAsia" w:cstheme="minorEastAsia"/>
                <w:color w:val="auto"/>
                <w:sz w:val="24"/>
                <w:szCs w:val="24"/>
                <w:highlight w:val="none"/>
                <w:lang w:val="en-US" w:eastAsia="zh-CN"/>
              </w:rPr>
              <w:t>100%的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 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bidi="ar"/>
              </w:rPr>
              <w:t>考察调研覆盖率</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kern w:val="0"/>
                <w:sz w:val="24"/>
                <w:szCs w:val="24"/>
                <w:highlight w:val="none"/>
                <w:lang w:eastAsia="zh-CN"/>
              </w:rPr>
              <w:t>考察调研的覆盖程度</w:t>
            </w:r>
            <w:r>
              <w:rPr>
                <w:rFonts w:hint="eastAsia" w:asciiTheme="minorEastAsia" w:hAnsiTheme="minorEastAsia" w:eastAsiaTheme="minorEastAsia" w:cstheme="minorEastAsia"/>
                <w:color w:val="auto"/>
                <w:kern w:val="0"/>
                <w:sz w:val="24"/>
                <w:szCs w:val="24"/>
                <w:highlight w:val="none"/>
              </w:rPr>
              <w:t>。</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eastAsia="zh-CN"/>
              </w:rPr>
              <w:t>考察调研</w:t>
            </w:r>
            <w:r>
              <w:rPr>
                <w:rFonts w:hint="eastAsia" w:asciiTheme="minorEastAsia" w:hAnsiTheme="minorEastAsia" w:eastAsiaTheme="minorEastAsia" w:cstheme="minorEastAsia"/>
                <w:color w:val="auto"/>
                <w:kern w:val="0"/>
                <w:sz w:val="24"/>
                <w:szCs w:val="24"/>
                <w:highlight w:val="none"/>
                <w:lang w:eastAsia="zh-CN"/>
              </w:rPr>
              <w:t>覆盖省直单位，地州市、县，</w:t>
            </w:r>
            <w:r>
              <w:rPr>
                <w:rFonts w:hint="eastAsia" w:asciiTheme="minorEastAsia" w:hAnsiTheme="minorEastAsia" w:eastAsiaTheme="minorEastAsia" w:cstheme="minorEastAsia"/>
                <w:color w:val="auto"/>
                <w:sz w:val="24"/>
                <w:szCs w:val="24"/>
                <w:highlight w:val="none"/>
                <w:lang w:eastAsia="zh-CN"/>
              </w:rPr>
              <w:t>覆盖率达</w:t>
            </w:r>
            <w:r>
              <w:rPr>
                <w:rFonts w:hint="eastAsia" w:asciiTheme="minorEastAsia" w:hAnsiTheme="minorEastAsia" w:eastAsiaTheme="minorEastAsia" w:cstheme="minorEastAsia"/>
                <w:color w:val="auto"/>
                <w:sz w:val="24"/>
                <w:szCs w:val="24"/>
                <w:highlight w:val="none"/>
                <w:lang w:val="en-US" w:eastAsia="zh-CN"/>
              </w:rPr>
              <w:t>100%的</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 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产出时效</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6</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系统升级维护及时性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单位（部门）在规定时限内</w:t>
            </w:r>
            <w:r>
              <w:rPr>
                <w:rFonts w:hint="eastAsia" w:asciiTheme="minorEastAsia" w:hAnsiTheme="minorEastAsia" w:eastAsiaTheme="minorEastAsia" w:cstheme="minorEastAsia"/>
                <w:color w:val="auto"/>
                <w:kern w:val="0"/>
                <w:sz w:val="24"/>
                <w:szCs w:val="24"/>
                <w:highlight w:val="none"/>
                <w:lang w:eastAsia="zh-CN"/>
              </w:rPr>
              <w:t>督促驻场运维工程师</w:t>
            </w:r>
            <w:r>
              <w:rPr>
                <w:rFonts w:hint="eastAsia" w:asciiTheme="minorEastAsia" w:hAnsiTheme="minorEastAsia" w:eastAsiaTheme="minorEastAsia" w:cstheme="minorEastAsia"/>
                <w:color w:val="auto"/>
                <w:kern w:val="0"/>
                <w:sz w:val="24"/>
                <w:szCs w:val="24"/>
                <w:highlight w:val="none"/>
              </w:rPr>
              <w:t>及时完成</w:t>
            </w:r>
            <w:r>
              <w:rPr>
                <w:rFonts w:hint="eastAsia" w:asciiTheme="minorEastAsia" w:hAnsiTheme="minorEastAsia" w:eastAsiaTheme="minorEastAsia" w:cstheme="minorEastAsia"/>
                <w:color w:val="auto"/>
                <w:kern w:val="0"/>
                <w:sz w:val="24"/>
                <w:szCs w:val="24"/>
                <w:highlight w:val="none"/>
                <w:lang w:eastAsia="zh-CN"/>
              </w:rPr>
              <w:t>系统升级维护</w:t>
            </w: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kern w:val="0"/>
                <w:sz w:val="24"/>
                <w:szCs w:val="24"/>
                <w:highlight w:val="none"/>
                <w:lang w:eastAsia="zh-CN"/>
              </w:rPr>
              <w:t>系统升级维护</w:t>
            </w:r>
            <w:r>
              <w:rPr>
                <w:rFonts w:hint="eastAsia" w:asciiTheme="minorEastAsia" w:hAnsiTheme="minorEastAsia" w:eastAsiaTheme="minorEastAsia" w:cstheme="minorEastAsia"/>
                <w:color w:val="auto"/>
                <w:kern w:val="0"/>
                <w:sz w:val="24"/>
                <w:szCs w:val="24"/>
                <w:highlight w:val="none"/>
              </w:rPr>
              <w:t>的及时性。</w:t>
            </w:r>
          </w:p>
        </w:tc>
        <w:tc>
          <w:tcPr>
            <w:tcW w:w="1939"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根据升级维护工作日志和验收记录，在系统出现故障预警时及时</w:t>
            </w:r>
            <w:r>
              <w:rPr>
                <w:rFonts w:hint="eastAsia" w:asciiTheme="minorEastAsia" w:hAnsiTheme="minorEastAsia" w:eastAsiaTheme="minorEastAsia" w:cstheme="minorEastAsia"/>
                <w:color w:val="auto"/>
                <w:kern w:val="0"/>
                <w:sz w:val="24"/>
                <w:szCs w:val="24"/>
                <w:highlight w:val="none"/>
              </w:rPr>
              <w:t>完成</w:t>
            </w:r>
            <w:r>
              <w:rPr>
                <w:rFonts w:hint="eastAsia" w:asciiTheme="minorEastAsia" w:hAnsiTheme="minorEastAsia" w:eastAsiaTheme="minorEastAsia" w:cstheme="minorEastAsia"/>
                <w:color w:val="auto"/>
                <w:kern w:val="0"/>
                <w:sz w:val="24"/>
                <w:szCs w:val="24"/>
                <w:highlight w:val="none"/>
                <w:lang w:eastAsia="zh-CN"/>
              </w:rPr>
              <w:t>系统升级维护的，得</w:t>
            </w:r>
            <w:r>
              <w:rPr>
                <w:rFonts w:hint="eastAsia" w:asciiTheme="minorEastAsia" w:hAnsiTheme="minorEastAsia" w:eastAsiaTheme="minorEastAsia" w:cstheme="minorEastAsia"/>
                <w:color w:val="auto"/>
                <w:kern w:val="0"/>
                <w:sz w:val="24"/>
                <w:szCs w:val="24"/>
                <w:highlight w:val="none"/>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bidi="ar"/>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会议培训及时性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单位（部门）在</w:t>
            </w:r>
            <w:r>
              <w:rPr>
                <w:rFonts w:hint="eastAsia" w:asciiTheme="minorEastAsia" w:hAnsiTheme="minorEastAsia" w:eastAsiaTheme="minorEastAsia" w:cstheme="minorEastAsia"/>
                <w:color w:val="auto"/>
                <w:kern w:val="0"/>
                <w:sz w:val="24"/>
                <w:szCs w:val="24"/>
                <w:highlight w:val="none"/>
                <w:lang w:eastAsia="zh-CN"/>
              </w:rPr>
              <w:t>重要时间节点或按中央编办的会议、文件要求，及时召开会议、组织培训</w:t>
            </w: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kern w:val="0"/>
                <w:sz w:val="24"/>
                <w:szCs w:val="24"/>
                <w:highlight w:val="none"/>
                <w:lang w:eastAsia="zh-CN"/>
              </w:rPr>
              <w:t>会议培训</w:t>
            </w:r>
            <w:r>
              <w:rPr>
                <w:rFonts w:hint="eastAsia" w:asciiTheme="minorEastAsia" w:hAnsiTheme="minorEastAsia" w:eastAsiaTheme="minorEastAsia" w:cstheme="minorEastAsia"/>
                <w:color w:val="auto"/>
                <w:kern w:val="0"/>
                <w:sz w:val="24"/>
                <w:szCs w:val="24"/>
                <w:highlight w:val="none"/>
              </w:rPr>
              <w:t>的及时性。</w:t>
            </w:r>
          </w:p>
        </w:tc>
        <w:tc>
          <w:tcPr>
            <w:tcW w:w="1939"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根据会议、培训记录及相关档案，</w:t>
            </w:r>
            <w:r>
              <w:rPr>
                <w:rFonts w:hint="eastAsia" w:asciiTheme="minorEastAsia" w:hAnsiTheme="minorEastAsia" w:eastAsiaTheme="minorEastAsia" w:cstheme="minorEastAsia"/>
                <w:color w:val="auto"/>
                <w:kern w:val="0"/>
                <w:sz w:val="24"/>
                <w:szCs w:val="24"/>
                <w:highlight w:val="none"/>
                <w:lang w:eastAsia="zh-CN"/>
              </w:rPr>
              <w:t>及时召开会议、组织培训的，得</w:t>
            </w:r>
            <w:r>
              <w:rPr>
                <w:rFonts w:hint="eastAsia" w:asciiTheme="minorEastAsia" w:hAnsiTheme="minorEastAsia" w:eastAsiaTheme="minorEastAsia" w:cstheme="minorEastAsia"/>
                <w:color w:val="auto"/>
                <w:kern w:val="0"/>
                <w:sz w:val="24"/>
                <w:szCs w:val="24"/>
                <w:highlight w:val="none"/>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eastAsia="zh-CN"/>
              </w:rPr>
              <w:t>用电保障</w:t>
            </w:r>
            <w:r>
              <w:rPr>
                <w:rFonts w:hint="eastAsia" w:asciiTheme="minorEastAsia" w:hAnsiTheme="minorEastAsia" w:eastAsiaTheme="minorEastAsia" w:cstheme="minorEastAsia"/>
                <w:color w:val="auto"/>
                <w:kern w:val="0"/>
                <w:sz w:val="24"/>
                <w:szCs w:val="24"/>
                <w:highlight w:val="none"/>
              </w:rPr>
              <w:t>及时性</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单位（部门）及时</w:t>
            </w:r>
            <w:r>
              <w:rPr>
                <w:rFonts w:hint="eastAsia" w:asciiTheme="minorEastAsia" w:hAnsiTheme="minorEastAsia" w:eastAsiaTheme="minorEastAsia" w:cstheme="minorEastAsia"/>
                <w:color w:val="auto"/>
                <w:kern w:val="0"/>
                <w:sz w:val="24"/>
                <w:szCs w:val="24"/>
                <w:highlight w:val="none"/>
                <w:lang w:eastAsia="zh-CN"/>
              </w:rPr>
              <w:t>缴纳机房电费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确保各系统正常运行</w:t>
            </w:r>
            <w:r>
              <w:rPr>
                <w:rFonts w:hint="eastAsia" w:asciiTheme="minorEastAsia" w:hAnsiTheme="minorEastAsia" w:eastAsiaTheme="minorEastAsia" w:cstheme="minorEastAsia"/>
                <w:color w:val="auto"/>
                <w:kern w:val="0"/>
                <w:sz w:val="24"/>
                <w:szCs w:val="24"/>
                <w:highlight w:val="none"/>
              </w:rPr>
              <w:t>，用以反映和考核</w:t>
            </w:r>
            <w:r>
              <w:rPr>
                <w:rFonts w:hint="eastAsia" w:asciiTheme="minorEastAsia" w:hAnsiTheme="minorEastAsia" w:eastAsiaTheme="minorEastAsia" w:cstheme="minorEastAsia"/>
                <w:color w:val="auto"/>
                <w:kern w:val="0"/>
                <w:sz w:val="24"/>
                <w:szCs w:val="24"/>
                <w:highlight w:val="none"/>
                <w:lang w:eastAsia="zh-CN"/>
              </w:rPr>
              <w:t>电费缴纳</w:t>
            </w:r>
            <w:r>
              <w:rPr>
                <w:rFonts w:hint="eastAsia" w:asciiTheme="minorEastAsia" w:hAnsiTheme="minorEastAsia" w:eastAsiaTheme="minorEastAsia" w:cstheme="minorEastAsia"/>
                <w:color w:val="auto"/>
                <w:kern w:val="0"/>
                <w:sz w:val="24"/>
                <w:szCs w:val="24"/>
                <w:highlight w:val="none"/>
              </w:rPr>
              <w:t>的及时性。</w:t>
            </w:r>
          </w:p>
        </w:tc>
        <w:tc>
          <w:tcPr>
            <w:tcW w:w="1939"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根据电费缴纳明细，结合实际情况，</w:t>
            </w:r>
            <w:r>
              <w:rPr>
                <w:rFonts w:hint="eastAsia" w:asciiTheme="minorEastAsia" w:hAnsiTheme="minorEastAsia" w:eastAsiaTheme="minorEastAsia" w:cstheme="minorEastAsia"/>
                <w:color w:val="auto"/>
                <w:kern w:val="0"/>
                <w:sz w:val="24"/>
                <w:szCs w:val="24"/>
                <w:highlight w:val="none"/>
              </w:rPr>
              <w:t>及时</w:t>
            </w:r>
            <w:r>
              <w:rPr>
                <w:rFonts w:hint="eastAsia" w:asciiTheme="minorEastAsia" w:hAnsiTheme="minorEastAsia" w:eastAsiaTheme="minorEastAsia" w:cstheme="minorEastAsia"/>
                <w:color w:val="auto"/>
                <w:kern w:val="0"/>
                <w:sz w:val="24"/>
                <w:szCs w:val="24"/>
                <w:highlight w:val="none"/>
                <w:lang w:eastAsia="zh-CN"/>
              </w:rPr>
              <w:t>缴纳机房电费</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保障了各系统正常运行的得</w:t>
            </w:r>
            <w:r>
              <w:rPr>
                <w:rFonts w:hint="eastAsia" w:asciiTheme="minorEastAsia" w:hAnsiTheme="minorEastAsia" w:eastAsiaTheme="minorEastAsia" w:cstheme="minorEastAsia"/>
                <w:color w:val="auto"/>
                <w:kern w:val="0"/>
                <w:sz w:val="24"/>
                <w:szCs w:val="24"/>
                <w:highlight w:val="none"/>
                <w:lang w:val="en-US" w:eastAsia="zh-CN"/>
              </w:rPr>
              <w:t>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产出成本</w:t>
            </w:r>
          </w:p>
        </w:tc>
        <w:tc>
          <w:tcPr>
            <w:tcW w:w="25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eastAsiaTheme="minorEastAsia" w:cstheme="minorEastAsia"/>
                <w:color w:val="auto"/>
                <w:kern w:val="0"/>
                <w:sz w:val="24"/>
                <w:szCs w:val="24"/>
                <w:highlight w:val="none"/>
                <w:lang w:eastAsia="zh-CN"/>
              </w:rPr>
              <w:t>预算成本控制</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w:t>
            </w:r>
          </w:p>
        </w:tc>
        <w:tc>
          <w:tcPr>
            <w:tcW w:w="1065"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完成项目计划工作目标的实际节约成本与计划成本的比较，用以反映和考核预算成本执行结果。</w:t>
            </w:r>
          </w:p>
        </w:tc>
        <w:tc>
          <w:tcPr>
            <w:tcW w:w="1939" w:type="pc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rPr>
              <w:t>项目预算成本执行结果没有超支，得满分；否则不得分。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jc w:val="center"/>
        </w:trPr>
        <w:tc>
          <w:tcPr>
            <w:tcW w:w="354"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效益</w:t>
            </w:r>
          </w:p>
        </w:tc>
        <w:tc>
          <w:tcPr>
            <w:tcW w:w="257"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26</w:t>
            </w: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eastAsia="zh-CN" w:bidi="ar"/>
              </w:rPr>
              <w:t>社会</w:t>
            </w:r>
            <w:r>
              <w:rPr>
                <w:rFonts w:hint="eastAsia" w:asciiTheme="minorEastAsia" w:hAnsiTheme="minorEastAsia" w:eastAsiaTheme="minorEastAsia" w:cstheme="minorEastAsia"/>
                <w:color w:val="auto"/>
                <w:kern w:val="0"/>
                <w:sz w:val="24"/>
                <w:szCs w:val="24"/>
                <w:highlight w:val="none"/>
                <w:lang w:bidi="ar"/>
              </w:rPr>
              <w:t>效益</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巩固深化机构改革成果</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eastAsia="zh-CN"/>
              </w:rPr>
              <w:t>项目实施后部门（单 位）根据上级工作部署，查漏补缺，推动机构改革，用以</w:t>
            </w:r>
            <w:r>
              <w:rPr>
                <w:rFonts w:hint="eastAsia" w:asciiTheme="minorEastAsia" w:hAnsiTheme="minorEastAsia" w:eastAsiaTheme="minorEastAsia" w:cstheme="minorEastAsia"/>
                <w:color w:val="auto"/>
                <w:kern w:val="0"/>
                <w:sz w:val="24"/>
                <w:szCs w:val="24"/>
                <w:highlight w:val="none"/>
                <w:lang w:eastAsia="zh-CN"/>
              </w:rPr>
              <w:t>反映和考核项目实施对</w:t>
            </w:r>
            <w:r>
              <w:rPr>
                <w:rFonts w:hint="eastAsia" w:asciiTheme="minorEastAsia" w:hAnsiTheme="minorEastAsia" w:eastAsiaTheme="minorEastAsia" w:cstheme="minorEastAsia"/>
                <w:color w:val="auto"/>
                <w:kern w:val="0"/>
                <w:sz w:val="24"/>
                <w:szCs w:val="24"/>
                <w:highlight w:val="none"/>
                <w:lang w:val="en-US" w:eastAsia="zh-CN" w:bidi="ar"/>
              </w:rPr>
              <w:t>巩固深化机构改革成果</w:t>
            </w:r>
            <w:r>
              <w:rPr>
                <w:rFonts w:hint="eastAsia" w:asciiTheme="minorEastAsia" w:hAnsiTheme="minorEastAsia" w:eastAsiaTheme="minorEastAsia" w:cstheme="minorEastAsia"/>
                <w:color w:val="auto"/>
                <w:kern w:val="0"/>
                <w:sz w:val="24"/>
                <w:szCs w:val="24"/>
                <w:highlight w:val="none"/>
                <w:lang w:eastAsia="zh-CN"/>
              </w:rPr>
              <w:t>作用发挥情况。</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项目实施后，修订规范省级议事协调机构办事机构职责表述，准确界定职责范围；加强党政机构职能统筹，推动理顺归口领导、归口管理的体制机制。根据满意度调查结果赋分，项目实施对</w:t>
            </w:r>
            <w:r>
              <w:rPr>
                <w:rFonts w:hint="eastAsia" w:asciiTheme="minorEastAsia" w:hAnsiTheme="minorEastAsia" w:eastAsiaTheme="minorEastAsia" w:cstheme="minorEastAsia"/>
                <w:color w:val="auto"/>
                <w:kern w:val="0"/>
                <w:sz w:val="24"/>
                <w:szCs w:val="24"/>
                <w:highlight w:val="none"/>
                <w:lang w:val="en-US" w:eastAsia="zh-CN" w:bidi="ar"/>
              </w:rPr>
              <w:t>巩固深化机构改革成果有效的满意度为100%，得3分；满意度低于100%的，按比例得分。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优化编制资源配置</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用以反映和考核项目实施对全省编制资源的统筹使用情况</w:t>
            </w:r>
            <w:r>
              <w:rPr>
                <w:rFonts w:hint="eastAsia" w:asciiTheme="minorEastAsia" w:hAnsiTheme="minorEastAsia" w:eastAsiaTheme="minorEastAsia" w:cstheme="minorEastAsia"/>
                <w:color w:val="auto"/>
                <w:kern w:val="0"/>
                <w:sz w:val="24"/>
                <w:szCs w:val="24"/>
                <w:highlight w:val="none"/>
                <w:lang w:eastAsia="zh-CN"/>
              </w:rPr>
              <w:t>。</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实施后，建立健全机构编制动态调整和管理评估机制，统筹用好编制资源，把有限的编制资源用在落实党中央重大决策部署、推动全省事业发展的重点领域，提升机构编制资源使用效益。根据满意度调查结果赋分，项目实施对优化编制资源配置</w:t>
            </w:r>
            <w:r>
              <w:rPr>
                <w:rFonts w:hint="eastAsia" w:asciiTheme="minorEastAsia" w:hAnsiTheme="minorEastAsia" w:eastAsiaTheme="minorEastAsia" w:cstheme="minorEastAsia"/>
                <w:color w:val="auto"/>
                <w:kern w:val="0"/>
                <w:sz w:val="24"/>
                <w:szCs w:val="24"/>
                <w:highlight w:val="none"/>
                <w:lang w:val="en-US" w:eastAsia="zh-CN" w:bidi="ar"/>
              </w:rPr>
              <w:t>成果有效的满意度为100%，得3分；满意度低于100%的，按比例得分。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推进重点领域改革</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用以反映和考核项目实施对应急管理、公共卫生应急管理、文物保护、生态保护等重点领域改革的推动情况</w:t>
            </w:r>
            <w:r>
              <w:rPr>
                <w:rFonts w:hint="eastAsia" w:asciiTheme="minorEastAsia" w:hAnsiTheme="minorEastAsia" w:eastAsiaTheme="minorEastAsia" w:cstheme="minorEastAsia"/>
                <w:color w:val="auto"/>
                <w:kern w:val="0"/>
                <w:sz w:val="24"/>
                <w:szCs w:val="24"/>
                <w:highlight w:val="none"/>
                <w:lang w:eastAsia="zh-CN"/>
              </w:rPr>
              <w:t>。</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项目实施后，应急管理、公共卫生应急管理、文物保护、生态保护等重点领域改革有序推进</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eastAsia="zh-CN"/>
              </w:rPr>
              <w:t>根据满意度调查结果赋分，项目实施对推进重点领域改革</w:t>
            </w:r>
            <w:r>
              <w:rPr>
                <w:rFonts w:hint="eastAsia" w:asciiTheme="minorEastAsia" w:hAnsiTheme="minorEastAsia" w:eastAsiaTheme="minorEastAsia" w:cstheme="minorEastAsia"/>
                <w:color w:val="auto"/>
                <w:kern w:val="0"/>
                <w:sz w:val="24"/>
                <w:szCs w:val="24"/>
                <w:highlight w:val="none"/>
                <w:lang w:val="en-US" w:eastAsia="zh-CN" w:bidi="ar"/>
              </w:rPr>
              <w:t>有效的满意度为100%，得3分；满意度低于100%的，按比例得分。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提升机构编制法治意识</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用以反映和考核项目实施对各单位机构编制法制意识的提升情况</w:t>
            </w:r>
            <w:r>
              <w:rPr>
                <w:rFonts w:hint="eastAsia" w:asciiTheme="minorEastAsia" w:hAnsiTheme="minorEastAsia" w:eastAsiaTheme="minorEastAsia" w:cstheme="minorEastAsia"/>
                <w:color w:val="auto"/>
                <w:sz w:val="24"/>
                <w:szCs w:val="24"/>
                <w:highlight w:val="none"/>
                <w:lang w:val="en-US" w:eastAsia="zh-CN"/>
              </w:rPr>
              <w:t>。</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项目实施后，通过《条例》学习，使工作人员的</w:t>
            </w:r>
            <w:r>
              <w:rPr>
                <w:rFonts w:hint="eastAsia" w:asciiTheme="minorEastAsia" w:hAnsiTheme="minorEastAsia" w:eastAsiaTheme="minorEastAsia" w:cstheme="minorEastAsia"/>
                <w:color w:val="auto"/>
                <w:sz w:val="24"/>
                <w:szCs w:val="24"/>
                <w:highlight w:val="none"/>
                <w:lang w:eastAsia="zh-CN"/>
              </w:rPr>
              <w:t>机构编制法治意识有明显提升的</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hint="eastAsia" w:asciiTheme="minorEastAsia" w:hAnsiTheme="minorEastAsia" w:eastAsiaTheme="minorEastAsia" w:cstheme="minorEastAsia"/>
                <w:color w:val="auto"/>
                <w:sz w:val="24"/>
                <w:szCs w:val="24"/>
                <w:highlight w:val="none"/>
                <w:lang w:val="en-US" w:eastAsia="zh-CN"/>
              </w:rPr>
              <w:t>工作人员的</w:t>
            </w:r>
            <w:r>
              <w:rPr>
                <w:rFonts w:hint="eastAsia" w:asciiTheme="minorEastAsia" w:hAnsiTheme="minorEastAsia" w:eastAsiaTheme="minorEastAsia" w:cstheme="minorEastAsia"/>
                <w:color w:val="auto"/>
                <w:sz w:val="24"/>
                <w:szCs w:val="24"/>
                <w:highlight w:val="none"/>
                <w:lang w:eastAsia="zh-CN"/>
              </w:rPr>
              <w:t>机构编制法治意识有提升的</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w:t>
            </w:r>
            <w:r>
              <w:rPr>
                <w:rFonts w:hint="eastAsia" w:asciiTheme="minorEastAsia" w:hAnsiTheme="minorEastAsia" w:eastAsiaTheme="minorEastAsia" w:cstheme="minorEastAsia"/>
                <w:color w:val="auto"/>
                <w:sz w:val="24"/>
                <w:szCs w:val="24"/>
                <w:highlight w:val="none"/>
                <w:lang w:val="en-US" w:eastAsia="zh-CN"/>
              </w:rPr>
              <w:t>作人员的</w:t>
            </w:r>
            <w:r>
              <w:rPr>
                <w:rFonts w:hint="eastAsia" w:asciiTheme="minorEastAsia" w:hAnsiTheme="minorEastAsia" w:eastAsiaTheme="minorEastAsia" w:cstheme="minorEastAsia"/>
                <w:color w:val="auto"/>
                <w:sz w:val="24"/>
                <w:szCs w:val="24"/>
                <w:highlight w:val="none"/>
                <w:lang w:eastAsia="zh-CN"/>
              </w:rPr>
              <w:t>机构编制法治意识没有得到提升的</w:t>
            </w:r>
            <w:r>
              <w:rPr>
                <w:rFonts w:hint="eastAsia" w:asciiTheme="minorEastAsia" w:hAnsiTheme="minorEastAsia" w:eastAsiaTheme="minorEastAsia" w:cstheme="minorEastAsia"/>
                <w:color w:val="auto"/>
                <w:kern w:val="0"/>
                <w:sz w:val="24"/>
                <w:szCs w:val="24"/>
                <w:highlight w:val="none"/>
                <w:lang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可持续影响</w:t>
            </w:r>
          </w:p>
        </w:tc>
        <w:tc>
          <w:tcPr>
            <w:tcW w:w="255" w:type="pct"/>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提升机构编制管理服务水平</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反映和考核项目实施对提升机构编制管理服务水平的可持续影响。</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项目实施后，对提升机构编制管理服务水平</w:t>
            </w:r>
            <w:r>
              <w:rPr>
                <w:rFonts w:hint="eastAsia" w:ascii="宋体" w:hAnsi="宋体" w:eastAsia="宋体" w:cs="宋体"/>
                <w:color w:val="auto"/>
                <w:kern w:val="0"/>
                <w:sz w:val="24"/>
                <w:highlight w:val="none"/>
                <w:lang w:eastAsia="zh-CN" w:bidi="ar"/>
              </w:rPr>
              <w:t>可持续影响作用明显，</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；对</w:t>
            </w:r>
            <w:r>
              <w:rPr>
                <w:rFonts w:hint="eastAsia" w:asciiTheme="minorEastAsia" w:hAnsiTheme="minorEastAsia" w:eastAsiaTheme="minorEastAsia" w:cstheme="minorEastAsia"/>
                <w:color w:val="auto"/>
                <w:sz w:val="24"/>
                <w:szCs w:val="24"/>
                <w:highlight w:val="none"/>
                <w:lang w:eastAsia="zh-CN"/>
              </w:rPr>
              <w:t>提升机构编制管理服务水平</w:t>
            </w:r>
            <w:r>
              <w:rPr>
                <w:rFonts w:hint="eastAsia" w:ascii="宋体" w:hAnsi="宋体" w:eastAsia="宋体" w:cs="宋体"/>
                <w:color w:val="auto"/>
                <w:kern w:val="0"/>
                <w:sz w:val="24"/>
                <w:highlight w:val="none"/>
                <w:lang w:eastAsia="zh-CN" w:bidi="ar"/>
              </w:rPr>
              <w:t>可持续影响作用</w:t>
            </w:r>
            <w:r>
              <w:rPr>
                <w:rFonts w:hint="eastAsia" w:ascii="宋体" w:hAnsi="宋体" w:eastAsia="宋体" w:cs="宋体"/>
                <w:color w:val="auto"/>
                <w:kern w:val="0"/>
                <w:sz w:val="24"/>
                <w:highlight w:val="none"/>
                <w:lang w:bidi="ar"/>
              </w:rPr>
              <w:t>一般，得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；对</w:t>
            </w:r>
            <w:r>
              <w:rPr>
                <w:rFonts w:hint="eastAsia" w:asciiTheme="minorEastAsia" w:hAnsiTheme="minorEastAsia" w:eastAsiaTheme="minorEastAsia" w:cstheme="minorEastAsia"/>
                <w:color w:val="auto"/>
                <w:sz w:val="24"/>
                <w:szCs w:val="24"/>
                <w:highlight w:val="none"/>
                <w:lang w:eastAsia="zh-CN"/>
              </w:rPr>
              <w:t>提升机构编制管理服务水平</w:t>
            </w:r>
            <w:r>
              <w:rPr>
                <w:rFonts w:hint="eastAsia" w:ascii="宋体" w:hAnsi="宋体" w:eastAsia="宋体" w:cs="宋体"/>
                <w:color w:val="auto"/>
                <w:kern w:val="0"/>
                <w:sz w:val="24"/>
                <w:highlight w:val="none"/>
                <w:lang w:eastAsia="zh-CN" w:bidi="ar"/>
              </w:rPr>
              <w:t>可持续影响</w:t>
            </w:r>
            <w:r>
              <w:rPr>
                <w:rFonts w:hint="eastAsia" w:ascii="宋体" w:hAnsi="宋体" w:eastAsia="宋体" w:cs="宋体"/>
                <w:color w:val="auto"/>
                <w:kern w:val="0"/>
                <w:sz w:val="24"/>
                <w:highlight w:val="none"/>
                <w:lang w:val="en-US" w:eastAsia="zh-CN" w:bidi="ar"/>
              </w:rPr>
              <w:t>作用</w:t>
            </w:r>
            <w:r>
              <w:rPr>
                <w:rFonts w:hint="eastAsia" w:ascii="宋体" w:hAnsi="宋体" w:eastAsia="宋体" w:cs="宋体"/>
                <w:color w:val="auto"/>
                <w:kern w:val="0"/>
                <w:sz w:val="24"/>
                <w:highlight w:val="none"/>
                <w:lang w:bidi="ar"/>
              </w:rPr>
              <w:t>不明</w:t>
            </w:r>
            <w:r>
              <w:rPr>
                <w:rFonts w:hint="eastAsia" w:asciiTheme="minorEastAsia" w:hAnsiTheme="minorEastAsia" w:eastAsiaTheme="minorEastAsia" w:cstheme="minorEastAsia"/>
                <w:color w:val="auto"/>
                <w:kern w:val="0"/>
                <w:sz w:val="24"/>
                <w:szCs w:val="24"/>
                <w:highlight w:val="none"/>
                <w:lang w:bidi="ar"/>
              </w:rPr>
              <w:t>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建立健全部门协作机制</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反映和</w:t>
            </w:r>
            <w:r>
              <w:rPr>
                <w:rFonts w:hint="eastAsia" w:asciiTheme="minorEastAsia" w:hAnsiTheme="minorEastAsia" w:eastAsiaTheme="minorEastAsia" w:cstheme="minorEastAsia"/>
                <w:color w:val="auto"/>
                <w:kern w:val="0"/>
                <w:sz w:val="24"/>
                <w:szCs w:val="24"/>
                <w:highlight w:val="none"/>
                <w:lang w:val="en-US" w:eastAsia="zh-CN" w:bidi="ar"/>
              </w:rPr>
              <w:t>考核项目实施对</w:t>
            </w:r>
            <w:r>
              <w:rPr>
                <w:rFonts w:hint="eastAsia" w:asciiTheme="minorEastAsia" w:hAnsiTheme="minorEastAsia" w:eastAsiaTheme="minorEastAsia" w:cstheme="minorEastAsia"/>
                <w:color w:val="auto"/>
                <w:sz w:val="24"/>
                <w:szCs w:val="24"/>
                <w:highlight w:val="none"/>
                <w:lang w:eastAsia="zh-CN"/>
              </w:rPr>
              <w:t>建立健全部门协作机制产生的可持续影响作用。</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项目实施后，对建立健全部门协同开展机构编制督查的协作机制可持续影响</w:t>
            </w:r>
            <w:r>
              <w:rPr>
                <w:rFonts w:hint="eastAsia" w:asciiTheme="minorEastAsia" w:hAnsiTheme="minorEastAsia" w:eastAsiaTheme="minorEastAsia" w:cstheme="minorEastAsia"/>
                <w:color w:val="auto"/>
                <w:kern w:val="0"/>
                <w:sz w:val="24"/>
                <w:szCs w:val="24"/>
                <w:highlight w:val="none"/>
                <w:lang w:val="en-US" w:eastAsia="zh-CN" w:bidi="ar"/>
              </w:rPr>
              <w:t>作用</w:t>
            </w:r>
            <w:r>
              <w:rPr>
                <w:rFonts w:hint="eastAsia" w:asciiTheme="minorEastAsia" w:hAnsiTheme="minorEastAsia" w:eastAsiaTheme="minorEastAsia" w:cstheme="minorEastAsia"/>
                <w:color w:val="auto"/>
                <w:kern w:val="0"/>
                <w:sz w:val="24"/>
                <w:szCs w:val="24"/>
                <w:highlight w:val="none"/>
                <w:lang w:bidi="ar"/>
              </w:rPr>
              <w:t>明显</w:t>
            </w:r>
            <w:r>
              <w:rPr>
                <w:rFonts w:hint="eastAsia" w:asciiTheme="minorEastAsia" w:hAnsiTheme="minorEastAsia" w:eastAsiaTheme="minorEastAsia" w:cstheme="minorEastAsia"/>
                <w:color w:val="auto"/>
                <w:kern w:val="0"/>
                <w:sz w:val="24"/>
                <w:szCs w:val="24"/>
                <w:highlight w:val="none"/>
                <w:lang w:eastAsia="zh-CN" w:bidi="ar"/>
              </w:rPr>
              <w:t>的</w:t>
            </w:r>
            <w:r>
              <w:rPr>
                <w:rFonts w:hint="eastAsia" w:asciiTheme="minorEastAsia" w:hAnsiTheme="minorEastAsia" w:eastAsiaTheme="minorEastAsia" w:cstheme="minorEastAsia"/>
                <w:color w:val="auto"/>
                <w:kern w:val="0"/>
                <w:sz w:val="24"/>
                <w:szCs w:val="24"/>
                <w:highlight w:val="none"/>
                <w:lang w:bidi="ar"/>
              </w:rPr>
              <w:t>，得</w:t>
            </w:r>
            <w:r>
              <w:rPr>
                <w:rFonts w:hint="eastAsia"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bidi="ar"/>
              </w:rPr>
              <w:t>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宋体" w:hAnsi="宋体" w:eastAsia="宋体" w:cs="宋体"/>
                <w:color w:val="auto"/>
                <w:kern w:val="0"/>
                <w:sz w:val="24"/>
                <w:highlight w:val="none"/>
                <w:lang w:eastAsia="zh-CN" w:bidi="ar"/>
              </w:rPr>
              <w:t>对</w:t>
            </w:r>
            <w:r>
              <w:rPr>
                <w:rFonts w:hint="eastAsia" w:asciiTheme="minorEastAsia" w:hAnsiTheme="minorEastAsia" w:eastAsiaTheme="minorEastAsia" w:cstheme="minorEastAsia"/>
                <w:color w:val="auto"/>
                <w:sz w:val="24"/>
                <w:szCs w:val="24"/>
                <w:highlight w:val="none"/>
                <w:lang w:eastAsia="zh-CN"/>
              </w:rPr>
              <w:t>建立健全部门协作机制</w:t>
            </w:r>
            <w:r>
              <w:rPr>
                <w:rFonts w:hint="eastAsia" w:ascii="宋体" w:hAnsi="宋体" w:eastAsia="宋体" w:cs="宋体"/>
                <w:color w:val="auto"/>
                <w:kern w:val="0"/>
                <w:sz w:val="24"/>
                <w:highlight w:val="none"/>
                <w:lang w:eastAsia="zh-CN" w:bidi="ar"/>
              </w:rPr>
              <w:t>可持续影响作用</w:t>
            </w:r>
            <w:r>
              <w:rPr>
                <w:rFonts w:hint="eastAsia" w:ascii="宋体" w:hAnsi="宋体" w:eastAsia="宋体" w:cs="宋体"/>
                <w:color w:val="auto"/>
                <w:kern w:val="0"/>
                <w:sz w:val="24"/>
                <w:highlight w:val="none"/>
                <w:lang w:bidi="ar"/>
              </w:rPr>
              <w:t>一般，得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；对</w:t>
            </w:r>
            <w:r>
              <w:rPr>
                <w:rFonts w:hint="eastAsia" w:asciiTheme="minorEastAsia" w:hAnsiTheme="minorEastAsia" w:eastAsiaTheme="minorEastAsia" w:cstheme="minorEastAsia"/>
                <w:color w:val="auto"/>
                <w:sz w:val="24"/>
                <w:szCs w:val="24"/>
                <w:highlight w:val="none"/>
                <w:lang w:eastAsia="zh-CN"/>
              </w:rPr>
              <w:t>建立健全部门协作机制</w:t>
            </w:r>
            <w:r>
              <w:rPr>
                <w:rFonts w:hint="eastAsia" w:ascii="宋体" w:hAnsi="宋体" w:eastAsia="宋体" w:cs="宋体"/>
                <w:color w:val="auto"/>
                <w:kern w:val="0"/>
                <w:sz w:val="24"/>
                <w:highlight w:val="none"/>
                <w:lang w:eastAsia="zh-CN" w:bidi="ar"/>
              </w:rPr>
              <w:t>可持续影响</w:t>
            </w:r>
            <w:r>
              <w:rPr>
                <w:rFonts w:hint="eastAsia" w:ascii="宋体" w:hAnsi="宋体" w:eastAsia="宋体" w:cs="宋体"/>
                <w:color w:val="auto"/>
                <w:kern w:val="0"/>
                <w:sz w:val="24"/>
                <w:highlight w:val="none"/>
                <w:lang w:val="en-US" w:eastAsia="zh-CN" w:bidi="ar"/>
              </w:rPr>
              <w:t>作用</w:t>
            </w:r>
            <w:r>
              <w:rPr>
                <w:rFonts w:hint="eastAsia" w:ascii="宋体" w:hAnsi="宋体" w:eastAsia="宋体" w:cs="宋体"/>
                <w:color w:val="auto"/>
                <w:kern w:val="0"/>
                <w:sz w:val="24"/>
                <w:highlight w:val="none"/>
                <w:lang w:bidi="ar"/>
              </w:rPr>
              <w:t>不明</w:t>
            </w:r>
            <w:r>
              <w:rPr>
                <w:rFonts w:hint="eastAsia" w:asciiTheme="minorEastAsia" w:hAnsiTheme="minorEastAsia" w:eastAsiaTheme="minorEastAsia" w:cstheme="minorEastAsia"/>
                <w:color w:val="auto"/>
                <w:kern w:val="0"/>
                <w:sz w:val="24"/>
                <w:szCs w:val="24"/>
                <w:highlight w:val="none"/>
                <w:lang w:bidi="ar"/>
              </w:rPr>
              <w:t>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5"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建立信息共享机制</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kern w:val="0"/>
                <w:sz w:val="24"/>
                <w:highlight w:val="none"/>
                <w:lang w:eastAsia="zh-CN" w:bidi="ar"/>
              </w:rPr>
              <w:t>反映和</w:t>
            </w:r>
            <w:r>
              <w:rPr>
                <w:rFonts w:hint="eastAsia" w:ascii="宋体" w:hAnsi="宋体" w:eastAsia="宋体" w:cs="宋体"/>
                <w:color w:val="auto"/>
                <w:kern w:val="0"/>
                <w:sz w:val="24"/>
                <w:highlight w:val="none"/>
                <w:lang w:val="en-US" w:eastAsia="zh-CN" w:bidi="ar"/>
              </w:rPr>
              <w:t>考核项目实施对</w:t>
            </w:r>
            <w:r>
              <w:rPr>
                <w:rFonts w:hint="eastAsia" w:asciiTheme="minorEastAsia" w:hAnsiTheme="minorEastAsia" w:eastAsiaTheme="minorEastAsia" w:cstheme="minorEastAsia"/>
                <w:color w:val="auto"/>
                <w:sz w:val="24"/>
                <w:szCs w:val="24"/>
                <w:highlight w:val="none"/>
                <w:lang w:eastAsia="zh-CN"/>
              </w:rPr>
              <w:t>建立信息共享机制</w:t>
            </w:r>
            <w:r>
              <w:rPr>
                <w:rFonts w:hint="eastAsia" w:ascii="宋体" w:hAnsi="宋体" w:eastAsia="宋体" w:cs="宋体"/>
                <w:color w:val="auto"/>
                <w:kern w:val="0"/>
                <w:sz w:val="24"/>
                <w:highlight w:val="none"/>
                <w:lang w:eastAsia="zh-CN" w:bidi="ar"/>
              </w:rPr>
              <w:t>的可持续影响作用。</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项目实施后</w:t>
            </w:r>
            <w:r>
              <w:rPr>
                <w:rFonts w:hint="eastAsia" w:ascii="宋体" w:hAnsi="宋体" w:eastAsia="宋体" w:cs="宋体"/>
                <w:color w:val="auto"/>
                <w:kern w:val="0"/>
                <w:sz w:val="24"/>
                <w:highlight w:val="none"/>
                <w:lang w:eastAsia="zh-CN" w:bidi="ar"/>
              </w:rPr>
              <w:t>，对建立机构编制管理同组织人事、财政预算管理的信息共享平台可持续影响作用明显，</w:t>
            </w:r>
            <w:r>
              <w:rPr>
                <w:rFonts w:hint="eastAsia" w:ascii="宋体" w:hAnsi="宋体" w:eastAsia="宋体" w:cs="宋体"/>
                <w:color w:val="auto"/>
                <w:kern w:val="0"/>
                <w:sz w:val="24"/>
                <w:highlight w:val="none"/>
                <w:lang w:bidi="ar"/>
              </w:rPr>
              <w:t>得</w:t>
            </w:r>
            <w:r>
              <w:rPr>
                <w:rFonts w:hint="eastAsia" w:ascii="宋体" w:hAnsi="宋体" w:eastAsia="宋体" w:cs="宋体"/>
                <w:color w:val="auto"/>
                <w:kern w:val="0"/>
                <w:sz w:val="24"/>
                <w:highlight w:val="none"/>
                <w:lang w:val="en-US" w:eastAsia="zh-CN" w:bidi="ar"/>
              </w:rPr>
              <w:t>3</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；对建立机构编制管理同组织人事、财政预算管理的信息共享平台可持续影响作用</w:t>
            </w:r>
            <w:r>
              <w:rPr>
                <w:rFonts w:hint="eastAsia" w:ascii="宋体" w:hAnsi="宋体" w:eastAsia="宋体" w:cs="宋体"/>
                <w:color w:val="auto"/>
                <w:kern w:val="0"/>
                <w:sz w:val="24"/>
                <w:highlight w:val="none"/>
                <w:lang w:bidi="ar"/>
              </w:rPr>
              <w:t>一般，得</w:t>
            </w:r>
            <w:r>
              <w:rPr>
                <w:rFonts w:hint="eastAsia" w:ascii="宋体" w:hAnsi="宋体" w:eastAsia="宋体" w:cs="宋体"/>
                <w:color w:val="auto"/>
                <w:kern w:val="0"/>
                <w:sz w:val="24"/>
                <w:highlight w:val="none"/>
                <w:lang w:val="en-US" w:eastAsia="zh-CN" w:bidi="ar"/>
              </w:rPr>
              <w:t>2</w:t>
            </w:r>
            <w:r>
              <w:rPr>
                <w:rFonts w:hint="eastAsia" w:ascii="宋体" w:hAnsi="宋体" w:eastAsia="宋体" w:cs="宋体"/>
                <w:color w:val="auto"/>
                <w:kern w:val="0"/>
                <w:sz w:val="24"/>
                <w:highlight w:val="none"/>
                <w:lang w:bidi="ar"/>
              </w:rPr>
              <w:t>分</w:t>
            </w:r>
            <w:r>
              <w:rPr>
                <w:rFonts w:hint="eastAsia" w:ascii="宋体" w:hAnsi="宋体" w:eastAsia="宋体" w:cs="宋体"/>
                <w:color w:val="auto"/>
                <w:kern w:val="0"/>
                <w:sz w:val="24"/>
                <w:highlight w:val="none"/>
                <w:lang w:eastAsia="zh-CN" w:bidi="ar"/>
              </w:rPr>
              <w:t>；对建立机构编制管理同组织人事、财政预算管理的信息共享平台可持续影响</w:t>
            </w:r>
            <w:r>
              <w:rPr>
                <w:rFonts w:hint="eastAsia" w:ascii="宋体" w:hAnsi="宋体" w:eastAsia="宋体" w:cs="宋体"/>
                <w:color w:val="auto"/>
                <w:kern w:val="0"/>
                <w:sz w:val="24"/>
                <w:highlight w:val="none"/>
                <w:lang w:val="en-US" w:eastAsia="zh-CN" w:bidi="ar"/>
              </w:rPr>
              <w:t>作用</w:t>
            </w:r>
            <w:r>
              <w:rPr>
                <w:rFonts w:hint="eastAsia" w:ascii="宋体" w:hAnsi="宋体" w:eastAsia="宋体" w:cs="宋体"/>
                <w:color w:val="auto"/>
                <w:kern w:val="0"/>
                <w:sz w:val="24"/>
                <w:highlight w:val="none"/>
                <w:lang w:bidi="ar"/>
              </w:rPr>
              <w:t>不明</w:t>
            </w:r>
            <w:r>
              <w:rPr>
                <w:rFonts w:hint="eastAsia" w:asciiTheme="minorEastAsia" w:hAnsiTheme="minorEastAsia" w:eastAsiaTheme="minorEastAsia" w:cstheme="minorEastAsia"/>
                <w:color w:val="auto"/>
                <w:kern w:val="0"/>
                <w:sz w:val="24"/>
                <w:szCs w:val="24"/>
                <w:highlight w:val="none"/>
                <w:lang w:bidi="ar"/>
              </w:rPr>
              <w:t>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257" w:type="pct"/>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p>
        </w:tc>
        <w:tc>
          <w:tcPr>
            <w:tcW w:w="366"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满意度</w:t>
            </w:r>
          </w:p>
        </w:tc>
        <w:tc>
          <w:tcPr>
            <w:tcW w:w="25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513"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工作人员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满意度</w:t>
            </w:r>
          </w:p>
        </w:tc>
        <w:tc>
          <w:tcPr>
            <w:tcW w:w="248"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w:t>
            </w:r>
          </w:p>
        </w:tc>
        <w:tc>
          <w:tcPr>
            <w:tcW w:w="1065"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center"/>
              <w:rPr>
                <w:rFonts w:hint="eastAsia" w:asciiTheme="minorEastAsia" w:hAnsiTheme="minorEastAsia" w:eastAsiaTheme="minorEastAsia" w:cstheme="minorEastAsia"/>
                <w:color w:val="auto"/>
                <w:kern w:val="0"/>
                <w:sz w:val="24"/>
                <w:szCs w:val="24"/>
                <w:highlight w:val="none"/>
                <w:lang w:eastAsia="zh-CN"/>
              </w:rPr>
            </w:pPr>
            <w:r>
              <w:rPr>
                <w:rFonts w:hint="eastAsia" w:ascii="宋体" w:hAnsi="宋体" w:eastAsia="宋体" w:cs="宋体"/>
                <w:color w:val="auto"/>
                <w:kern w:val="0"/>
                <w:sz w:val="24"/>
                <w:highlight w:val="none"/>
                <w:lang w:eastAsia="zh-CN" w:bidi="ar"/>
              </w:rPr>
              <w:t>通过调查问卷，了解</w:t>
            </w:r>
            <w:r>
              <w:rPr>
                <w:rFonts w:hint="eastAsia" w:asciiTheme="minorEastAsia" w:hAnsiTheme="minorEastAsia" w:eastAsiaTheme="minorEastAsia" w:cstheme="minorEastAsia"/>
                <w:color w:val="auto"/>
                <w:kern w:val="0"/>
                <w:sz w:val="24"/>
                <w:szCs w:val="24"/>
                <w:highlight w:val="none"/>
                <w:lang w:eastAsia="zh-CN"/>
              </w:rPr>
              <w:t>各处室工作人员对项</w:t>
            </w:r>
            <w:r>
              <w:rPr>
                <w:rFonts w:hint="eastAsia" w:asciiTheme="minorEastAsia" w:hAnsiTheme="minorEastAsia" w:eastAsiaTheme="minorEastAsia" w:cstheme="minorEastAsia"/>
                <w:color w:val="auto"/>
                <w:kern w:val="0"/>
                <w:sz w:val="24"/>
                <w:szCs w:val="24"/>
                <w:highlight w:val="none"/>
              </w:rPr>
              <w:t>目实施效果的满意程度。</w:t>
            </w:r>
          </w:p>
        </w:tc>
        <w:tc>
          <w:tcPr>
            <w:tcW w:w="1939" w:type="pc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center"/>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eastAsia="zh-CN" w:bidi="ar"/>
              </w:rPr>
              <w:t>根据调查问卷的工作人员满意度，按比例得分，满意度=工作人员满意率*满分</w:t>
            </w:r>
            <w:r>
              <w:rPr>
                <w:rFonts w:hint="eastAsia" w:ascii="宋体" w:hAnsi="宋体" w:eastAsia="宋体" w:cs="宋体"/>
                <w:color w:val="auto"/>
                <w:kern w:val="0"/>
                <w:sz w:val="24"/>
                <w:highlight w:val="none"/>
                <w:lang w:val="en-US" w:eastAsia="zh-CN" w:bidi="ar"/>
              </w:rPr>
              <w:t>5</w:t>
            </w:r>
            <w:r>
              <w:rPr>
                <w:rFonts w:hint="eastAsia" w:ascii="宋体" w:hAnsi="宋体" w:eastAsia="宋体" w:cs="宋体"/>
                <w:color w:val="auto"/>
                <w:kern w:val="0"/>
                <w:sz w:val="24"/>
                <w:highlight w:val="none"/>
                <w:lang w:eastAsia="zh-CN" w:bidi="ar"/>
              </w:rPr>
              <w:t>分，指标得分不超过满分。</w:t>
            </w:r>
          </w:p>
        </w:tc>
      </w:tr>
    </w:tbl>
    <w:p>
      <w:pPr>
        <w:keepNext w:val="0"/>
        <w:keepLines w:val="0"/>
        <w:pageBreakBefore w:val="0"/>
        <w:widowControl w:val="0"/>
        <w:kinsoku/>
        <w:overflowPunct/>
        <w:topLinePunct w:val="0"/>
        <w:autoSpaceDE/>
        <w:autoSpaceDN/>
        <w:bidi w:val="0"/>
        <w:spacing w:line="240" w:lineRule="auto"/>
        <w:ind w:firstLine="0" w:firstLineChars="0"/>
        <w:rPr>
          <w:color w:val="auto"/>
          <w:highlight w:val="none"/>
        </w:rPr>
      </w:pPr>
    </w:p>
    <w:p>
      <w:pPr>
        <w:keepNext w:val="0"/>
        <w:keepLines w:val="0"/>
        <w:pageBreakBefore w:val="0"/>
        <w:widowControl w:val="0"/>
        <w:kinsoku/>
        <w:overflowPunct/>
        <w:topLinePunct w:val="0"/>
        <w:autoSpaceDE/>
        <w:autoSpaceDN/>
        <w:bidi w:val="0"/>
        <w:spacing w:line="360" w:lineRule="auto"/>
        <w:ind w:firstLine="0" w:firstLineChars="0"/>
        <w:outlineLvl w:val="9"/>
        <w:rPr>
          <w:rFonts w:ascii="楷体" w:hAnsi="楷体" w:eastAsia="楷体" w:cs="宋体"/>
          <w:b/>
          <w:color w:val="auto"/>
          <w:szCs w:val="28"/>
          <w:highlight w:val="none"/>
        </w:rPr>
        <w:sectPr>
          <w:pgSz w:w="16838" w:h="11906" w:orient="landscape"/>
          <w:pgMar w:top="1800" w:right="1440" w:bottom="1800" w:left="1440" w:header="851" w:footer="722" w:gutter="0"/>
          <w:pgBorders>
            <w:top w:val="none" w:sz="0" w:space="0"/>
            <w:left w:val="none" w:sz="0" w:space="0"/>
            <w:bottom w:val="none" w:sz="0" w:space="0"/>
            <w:right w:val="none" w:sz="0" w:space="0"/>
          </w:pgBorders>
          <w:pgNumType w:fmt="numberInDash"/>
          <w:cols w:space="425" w:num="1"/>
          <w:docGrid w:type="lines" w:linePitch="435" w:charSpace="0"/>
        </w:sectPr>
      </w:pPr>
      <w:bookmarkStart w:id="139" w:name="_Toc700"/>
      <w:bookmarkStart w:id="140" w:name="_Toc7283"/>
    </w:p>
    <w:bookmarkEnd w:id="139"/>
    <w:bookmarkEnd w:id="140"/>
    <w:p>
      <w:pPr>
        <w:keepNext w:val="0"/>
        <w:keepLines w:val="0"/>
        <w:pageBreakBefore w:val="0"/>
        <w:widowControl w:val="0"/>
        <w:kinsoku/>
        <w:overflowPunct/>
        <w:topLinePunct w:val="0"/>
        <w:autoSpaceDE/>
        <w:autoSpaceDN/>
        <w:bidi w:val="0"/>
        <w:spacing w:line="360" w:lineRule="auto"/>
        <w:ind w:firstLine="0" w:firstLineChars="0"/>
        <w:outlineLvl w:val="0"/>
        <w:rPr>
          <w:rFonts w:hint="eastAsia" w:ascii="黑体" w:hAnsi="黑体" w:eastAsia="黑体" w:cs="黑体"/>
          <w:b w:val="0"/>
          <w:bCs/>
          <w:color w:val="auto"/>
          <w:szCs w:val="28"/>
          <w:highlight w:val="none"/>
          <w:lang w:eastAsia="zh-CN"/>
        </w:rPr>
      </w:pPr>
      <w:bookmarkStart w:id="141" w:name="_Toc23376"/>
      <w:bookmarkStart w:id="142" w:name="_Toc8067"/>
      <w:bookmarkStart w:id="143" w:name="_Toc7142"/>
      <w:r>
        <w:rPr>
          <w:rFonts w:hint="eastAsia" w:ascii="黑体" w:hAnsi="黑体" w:eastAsia="黑体" w:cs="黑体"/>
          <w:b w:val="0"/>
          <w:bCs/>
          <w:color w:val="auto"/>
          <w:szCs w:val="28"/>
          <w:highlight w:val="none"/>
        </w:rPr>
        <w:t>附件</w:t>
      </w:r>
      <w:r>
        <w:rPr>
          <w:rFonts w:hint="eastAsia" w:ascii="黑体" w:hAnsi="黑体" w:eastAsia="黑体" w:cs="黑体"/>
          <w:b w:val="0"/>
          <w:bCs/>
          <w:color w:val="auto"/>
          <w:szCs w:val="28"/>
          <w:highlight w:val="none"/>
          <w:lang w:val="en-US" w:eastAsia="zh-CN"/>
        </w:rPr>
        <w:t>2</w:t>
      </w:r>
      <w:r>
        <w:rPr>
          <w:rFonts w:hint="eastAsia" w:ascii="黑体" w:hAnsi="黑体" w:eastAsia="黑体" w:cs="黑体"/>
          <w:b w:val="0"/>
          <w:bCs/>
          <w:color w:val="auto"/>
          <w:szCs w:val="28"/>
          <w:highlight w:val="none"/>
        </w:rPr>
        <w:t xml:space="preserve"> </w:t>
      </w:r>
      <w:r>
        <w:rPr>
          <w:rFonts w:hint="eastAsia" w:ascii="黑体" w:hAnsi="黑体" w:eastAsia="黑体" w:cs="黑体"/>
          <w:b w:val="0"/>
          <w:bCs/>
          <w:color w:val="auto"/>
          <w:szCs w:val="28"/>
          <w:highlight w:val="none"/>
          <w:lang w:eastAsia="zh-CN"/>
        </w:rPr>
        <w:t>项目资金使用情况表</w:t>
      </w:r>
      <w:bookmarkEnd w:id="141"/>
      <w:bookmarkEnd w:id="142"/>
      <w:bookmarkEnd w:id="143"/>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cs="宋体" w:asciiTheme="minorEastAsia" w:hAnsiTheme="minorEastAsia" w:eastAsiaTheme="minorEastAsia"/>
          <w:b/>
          <w:color w:val="auto"/>
          <w:kern w:val="0"/>
          <w:sz w:val="32"/>
          <w:szCs w:val="32"/>
          <w:highlight w:val="none"/>
          <w:lang w:val="en-US" w:eastAsia="zh-CN"/>
        </w:rPr>
      </w:pPr>
      <w:r>
        <w:rPr>
          <w:rFonts w:hint="eastAsia" w:cs="宋体" w:asciiTheme="minorEastAsia" w:hAnsiTheme="minorEastAsia" w:eastAsiaTheme="minorEastAsia"/>
          <w:b/>
          <w:color w:val="auto"/>
          <w:kern w:val="0"/>
          <w:sz w:val="32"/>
          <w:szCs w:val="32"/>
          <w:highlight w:val="none"/>
          <w:lang w:val="en-US" w:eastAsia="zh-CN"/>
        </w:rPr>
        <w:t>省委编办2021年业务费项目资金支出明细表</w:t>
      </w:r>
    </w:p>
    <w:p>
      <w:pPr>
        <w:bidi w:val="0"/>
        <w:rPr>
          <w:rFonts w:hint="default"/>
          <w:color w:val="auto"/>
          <w:sz w:val="30"/>
          <w:szCs w:val="30"/>
          <w:lang w:val="en-US" w:eastAsia="zh-CN"/>
        </w:rPr>
      </w:pPr>
      <w:r>
        <w:rPr>
          <w:rFonts w:hint="eastAsia" w:cs="仿宋_GB2312"/>
          <w:color w:val="FF0000"/>
          <w:sz w:val="32"/>
          <w:szCs w:val="32"/>
          <w:highlight w:val="none"/>
          <w:lang w:val="en-US" w:eastAsia="zh-CN"/>
        </w:rPr>
        <w:t xml:space="preserve">                                   </w:t>
      </w:r>
      <w:r>
        <w:rPr>
          <w:rFonts w:hint="eastAsia" w:cs="仿宋_GB2312"/>
          <w:color w:val="auto"/>
          <w:sz w:val="30"/>
          <w:szCs w:val="30"/>
          <w:highlight w:val="none"/>
          <w:lang w:val="en-US" w:eastAsia="zh-CN"/>
        </w:rPr>
        <w:t xml:space="preserve"> </w:t>
      </w:r>
      <w:r>
        <w:rPr>
          <w:rFonts w:hint="eastAsia" w:cs="仿宋_GB2312"/>
          <w:b/>
          <w:bCs w:val="0"/>
          <w:color w:val="auto"/>
          <w:sz w:val="30"/>
          <w:szCs w:val="30"/>
          <w:highlight w:val="none"/>
          <w:lang w:val="en-US" w:eastAsia="zh-CN"/>
        </w:rPr>
        <w:t>单位：万元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300"/>
        <w:gridCol w:w="1696"/>
        <w:gridCol w:w="200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序号</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支出项目</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预算经费</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实际到位经费</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vertAlign w:val="baseline"/>
                <w:lang w:val="en-US" w:eastAsia="zh-CN"/>
              </w:rPr>
              <w:t>支出经费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1</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办公费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155.00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155.00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2</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印刷费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26.00</w:t>
            </w:r>
          </w:p>
        </w:tc>
        <w:tc>
          <w:tcPr>
            <w:tcW w:w="2040" w:type="dxa"/>
            <w:vAlign w:val="center"/>
          </w:tcPr>
          <w:p>
            <w:pPr>
              <w:keepNext w:val="0"/>
              <w:keepLines w:val="0"/>
              <w:widowControl/>
              <w:suppressLineNumbers w:val="0"/>
              <w:tabs>
                <w:tab w:val="left" w:pos="785"/>
                <w:tab w:val="center" w:pos="1204"/>
              </w:tabs>
              <w:ind w:firstLine="560" w:firstLineChars="200"/>
              <w:jc w:val="left"/>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26.00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3</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电费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15.00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15.00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4</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取暖费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5</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差旅费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6</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租赁费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10.00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7</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会议费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11.00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11.00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8</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培训费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14.00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14.00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9</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公务接待费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10</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委托业务费</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35.00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35.00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11</w:t>
            </w:r>
          </w:p>
        </w:tc>
        <w:tc>
          <w:tcPr>
            <w:tcW w:w="253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办公设备购置</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6.00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6.00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73"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12</w:t>
            </w:r>
          </w:p>
        </w:tc>
        <w:tc>
          <w:tcPr>
            <w:tcW w:w="25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信息网络及软件购置更新</w:t>
            </w:r>
          </w:p>
        </w:tc>
        <w:tc>
          <w:tcPr>
            <w:tcW w:w="1556"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25.00</w:t>
            </w:r>
          </w:p>
        </w:tc>
        <w:tc>
          <w:tcPr>
            <w:tcW w:w="2040"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25.00</w:t>
            </w:r>
          </w:p>
        </w:tc>
        <w:tc>
          <w:tcPr>
            <w:tcW w:w="1518" w:type="dxa"/>
            <w:vAlign w:val="center"/>
          </w:tcPr>
          <w:p>
            <w:pPr>
              <w:keepNext w:val="0"/>
              <w:keepLines w:val="0"/>
              <w:widowControl/>
              <w:suppressLineNumbers w:val="0"/>
              <w:ind w:firstLine="560" w:firstLineChars="200"/>
              <w:jc w:val="both"/>
              <w:textAlignment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8"/>
                <w:szCs w:val="28"/>
                <w:highlight w:val="none"/>
                <w:vertAlign w:val="baseline"/>
                <w:lang w:val="en-US" w:eastAsia="zh-CN" w:bidi="ar-SA"/>
              </w:rPr>
            </w:pPr>
            <w:r>
              <w:rPr>
                <w:rFonts w:hint="eastAsia" w:ascii="宋体" w:hAnsi="宋体" w:eastAsia="宋体" w:cs="宋体"/>
                <w:b/>
                <w:bCs/>
                <w:color w:val="auto"/>
                <w:sz w:val="28"/>
                <w:szCs w:val="28"/>
                <w:highlight w:val="none"/>
                <w:vertAlign w:val="baseline"/>
                <w:lang w:val="en-US" w:eastAsia="zh-CN"/>
              </w:rPr>
              <w:t>合计</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8"/>
                <w:szCs w:val="28"/>
                <w:highlight w:val="none"/>
                <w:vertAlign w:val="baseline"/>
                <w:lang w:val="en-US" w:eastAsia="zh-CN" w:bidi="ar-SA"/>
              </w:rPr>
            </w:pPr>
            <w:r>
              <w:rPr>
                <w:rFonts w:hint="eastAsia" w:ascii="宋体" w:hAnsi="宋体" w:eastAsia="宋体" w:cs="宋体"/>
                <w:b/>
                <w:bCs/>
                <w:color w:val="auto"/>
                <w:sz w:val="28"/>
                <w:szCs w:val="28"/>
                <w:highlight w:val="none"/>
                <w:vertAlign w:val="baseline"/>
                <w:lang w:val="en-US" w:eastAsia="zh-CN"/>
              </w:rPr>
              <w:t>320</w:t>
            </w:r>
          </w:p>
        </w:tc>
        <w:tc>
          <w:tcPr>
            <w:tcW w:w="2040"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8"/>
                <w:szCs w:val="28"/>
                <w:highlight w:val="none"/>
                <w:vertAlign w:val="baseline"/>
                <w:lang w:val="en-US" w:eastAsia="zh-CN" w:bidi="ar-SA"/>
              </w:rPr>
            </w:pPr>
            <w:r>
              <w:rPr>
                <w:rFonts w:hint="eastAsia" w:ascii="宋体" w:hAnsi="宋体" w:eastAsia="宋体" w:cs="宋体"/>
                <w:b/>
                <w:bCs/>
                <w:color w:val="auto"/>
                <w:sz w:val="28"/>
                <w:szCs w:val="28"/>
                <w:highlight w:val="none"/>
                <w:vertAlign w:val="baseline"/>
                <w:lang w:val="en-US" w:eastAsia="zh-CN"/>
              </w:rPr>
              <w:t>320</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auto"/>
                <w:kern w:val="2"/>
                <w:sz w:val="28"/>
                <w:szCs w:val="28"/>
                <w:highlight w:val="none"/>
                <w:vertAlign w:val="baseline"/>
                <w:lang w:val="en-US" w:eastAsia="zh-CN" w:bidi="ar-SA"/>
              </w:rPr>
            </w:pPr>
            <w:r>
              <w:rPr>
                <w:rFonts w:hint="eastAsia" w:ascii="宋体" w:hAnsi="宋体" w:eastAsia="宋体" w:cs="宋体"/>
                <w:b/>
                <w:bCs/>
                <w:color w:val="auto"/>
                <w:sz w:val="28"/>
                <w:szCs w:val="28"/>
                <w:highlight w:val="none"/>
                <w:vertAlign w:val="baseline"/>
                <w:lang w:val="en-US" w:eastAsia="zh-CN"/>
              </w:rPr>
              <w:t>245.77</w:t>
            </w:r>
          </w:p>
        </w:tc>
      </w:tr>
    </w:tbl>
    <w:p>
      <w:pPr>
        <w:bidi w:val="0"/>
        <w:rPr>
          <w:rFonts w:hint="eastAsia"/>
        </w:rPr>
      </w:pPr>
    </w:p>
    <w:p>
      <w:pPr>
        <w:rPr>
          <w:rFonts w:hint="eastAsia"/>
        </w:rPr>
        <w:sectPr>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kinsoku/>
        <w:overflowPunct/>
        <w:topLinePunct w:val="0"/>
        <w:autoSpaceDE/>
        <w:autoSpaceDN/>
        <w:bidi w:val="0"/>
        <w:spacing w:line="360" w:lineRule="auto"/>
        <w:ind w:firstLine="0" w:firstLineChars="0"/>
        <w:outlineLvl w:val="0"/>
        <w:rPr>
          <w:rFonts w:hint="eastAsia" w:ascii="黑体" w:hAnsi="黑体" w:eastAsia="黑体" w:cs="黑体"/>
          <w:b w:val="0"/>
          <w:bCs/>
          <w:color w:val="auto"/>
          <w:szCs w:val="28"/>
          <w:highlight w:val="none"/>
          <w:lang w:eastAsia="zh-CN"/>
        </w:rPr>
      </w:pPr>
      <w:bookmarkStart w:id="144" w:name="_Toc11336"/>
      <w:bookmarkStart w:id="145" w:name="_Toc18433"/>
      <w:bookmarkStart w:id="146" w:name="_Toc13135"/>
      <w:r>
        <w:rPr>
          <w:rFonts w:hint="eastAsia" w:ascii="黑体" w:hAnsi="黑体" w:eastAsia="黑体" w:cs="黑体"/>
          <w:b w:val="0"/>
          <w:bCs/>
          <w:color w:val="auto"/>
          <w:szCs w:val="28"/>
          <w:highlight w:val="none"/>
        </w:rPr>
        <w:t>附件</w:t>
      </w:r>
      <w:r>
        <w:rPr>
          <w:rFonts w:hint="eastAsia" w:ascii="黑体" w:hAnsi="黑体" w:eastAsia="黑体" w:cs="黑体"/>
          <w:b w:val="0"/>
          <w:bCs/>
          <w:color w:val="auto"/>
          <w:szCs w:val="28"/>
          <w:highlight w:val="none"/>
          <w:lang w:val="en-US" w:eastAsia="zh-CN"/>
        </w:rPr>
        <w:t>3</w:t>
      </w:r>
      <w:r>
        <w:rPr>
          <w:rFonts w:hint="eastAsia" w:ascii="黑体" w:hAnsi="黑体" w:eastAsia="黑体" w:cs="黑体"/>
          <w:b w:val="0"/>
          <w:bCs/>
          <w:color w:val="auto"/>
          <w:szCs w:val="28"/>
          <w:highlight w:val="none"/>
        </w:rPr>
        <w:t xml:space="preserve"> </w:t>
      </w:r>
      <w:r>
        <w:rPr>
          <w:rFonts w:hint="eastAsia" w:ascii="黑体" w:hAnsi="黑体" w:eastAsia="黑体" w:cs="黑体"/>
          <w:b w:val="0"/>
          <w:bCs/>
          <w:color w:val="auto"/>
          <w:szCs w:val="28"/>
          <w:highlight w:val="none"/>
          <w:lang w:eastAsia="zh-CN"/>
        </w:rPr>
        <w:t>问卷调查满意度分析</w:t>
      </w:r>
      <w:bookmarkEnd w:id="144"/>
      <w:bookmarkEnd w:id="145"/>
      <w:bookmarkEnd w:id="146"/>
    </w:p>
    <w:p>
      <w:pPr>
        <w:pStyle w:val="2"/>
        <w:rPr>
          <w:rFonts w:hint="eastAsia"/>
          <w:lang w:eastAsia="zh-CN"/>
        </w:rPr>
      </w:pP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cs="宋体" w:asciiTheme="minorEastAsia" w:hAnsiTheme="minorEastAsia" w:eastAsiaTheme="minorEastAsia"/>
          <w:b/>
          <w:color w:val="auto"/>
          <w:kern w:val="0"/>
          <w:sz w:val="32"/>
          <w:szCs w:val="32"/>
          <w:highlight w:val="none"/>
          <w:lang w:val="en-US" w:eastAsia="zh-CN"/>
        </w:rPr>
      </w:pPr>
      <w:r>
        <w:rPr>
          <w:rFonts w:hint="eastAsia" w:cs="宋体" w:asciiTheme="minorEastAsia" w:hAnsiTheme="minorEastAsia" w:eastAsiaTheme="minorEastAsia"/>
          <w:b/>
          <w:color w:val="auto"/>
          <w:kern w:val="0"/>
          <w:sz w:val="32"/>
          <w:szCs w:val="32"/>
          <w:highlight w:val="none"/>
          <w:lang w:val="en-US" w:eastAsia="zh-CN"/>
        </w:rPr>
        <w:t>中共甘肃省委机构编制委员会办公室2021年业务费项目</w:t>
      </w:r>
    </w:p>
    <w:p>
      <w:pPr>
        <w:keepNext w:val="0"/>
        <w:keepLines w:val="0"/>
        <w:pageBreakBefore w:val="0"/>
        <w:widowControl w:val="0"/>
        <w:kinsoku/>
        <w:overflowPunct/>
        <w:topLinePunct w:val="0"/>
        <w:autoSpaceDE/>
        <w:autoSpaceDN/>
        <w:bidi w:val="0"/>
        <w:spacing w:line="240" w:lineRule="auto"/>
        <w:ind w:firstLine="0" w:firstLineChars="0"/>
        <w:jc w:val="center"/>
        <w:rPr>
          <w:rFonts w:hint="eastAsia" w:cs="宋体" w:asciiTheme="minorEastAsia" w:hAnsiTheme="minorEastAsia" w:eastAsiaTheme="minorEastAsia"/>
          <w:b/>
          <w:color w:val="auto"/>
          <w:kern w:val="0"/>
          <w:sz w:val="32"/>
          <w:szCs w:val="32"/>
          <w:highlight w:val="none"/>
          <w:lang w:val="en-US" w:eastAsia="zh-CN"/>
        </w:rPr>
      </w:pPr>
      <w:r>
        <w:rPr>
          <w:rFonts w:hint="eastAsia" w:cs="宋体" w:asciiTheme="minorEastAsia" w:hAnsiTheme="minorEastAsia" w:eastAsiaTheme="minorEastAsia"/>
          <w:b/>
          <w:color w:val="auto"/>
          <w:kern w:val="0"/>
          <w:sz w:val="32"/>
          <w:szCs w:val="32"/>
          <w:highlight w:val="none"/>
          <w:lang w:val="en-US" w:eastAsia="zh-CN"/>
        </w:rPr>
        <w:t>满意度调查问卷</w:t>
      </w:r>
    </w:p>
    <w:p>
      <w:pPr>
        <w:pStyle w:val="2"/>
        <w:outlineLvl w:val="9"/>
        <w:rPr>
          <w:rFonts w:hint="eastAsia"/>
          <w:lang w:val="en-US" w:eastAsia="zh-CN"/>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第1题   您的身份是？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960"/>
        <w:gridCol w:w="794"/>
        <w:gridCol w:w="2768"/>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tcW w:w="466" w:type="pct"/>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tcW w:w="1624" w:type="pct"/>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A、甘肃省委机构编制委员会办公室工作人员</w:t>
            </w:r>
          </w:p>
        </w:tc>
        <w:tc>
          <w:tcPr>
            <w:tcW w:w="466" w:type="pct"/>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tcW w:w="1624" w:type="pct"/>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10"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98"/>
                          <pic:cNvPicPr>
                            <a:picLocks noChangeAspect="1"/>
                          </pic:cNvPicPr>
                        </pic:nvPicPr>
                        <pic:blipFill>
                          <a:blip r:embed="rId18"/>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100%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B、地州、市县机构编制委员会办公室工作人员</w:t>
            </w:r>
          </w:p>
        </w:tc>
        <w:tc>
          <w:tcPr>
            <w:tcW w:w="466" w:type="pct"/>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tcW w:w="1624" w:type="pct"/>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0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99"/>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C、其他机关事业单位工作人员</w:t>
            </w:r>
          </w:p>
        </w:tc>
        <w:tc>
          <w:tcPr>
            <w:tcW w:w="466" w:type="pct"/>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tcW w:w="1624" w:type="pct"/>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08"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0"/>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tcW w:w="466" w:type="pct"/>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tcW w:w="1624" w:type="pct"/>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第2题   您认为202</w:t>
      </w:r>
      <w:r>
        <w:rPr>
          <w:rFonts w:hint="eastAsia" w:ascii="Times New Roman" w:hAnsi="Times New Roman" w:eastAsia="宋体"/>
          <w:b w:val="0"/>
          <w:color w:val="000000"/>
          <w:kern w:val="0"/>
          <w:sz w:val="24"/>
          <w:lang w:val="en-US" w:eastAsia="zh-CN"/>
        </w:rPr>
        <w:t>1</w:t>
      </w:r>
      <w:r>
        <w:rPr>
          <w:rFonts w:ascii="Times New Roman" w:hAnsi="Times New Roman" w:eastAsia="Times New Roman"/>
          <w:b w:val="0"/>
          <w:color w:val="000000"/>
          <w:kern w:val="0"/>
          <w:sz w:val="24"/>
        </w:rPr>
        <w:t>年机构编制实名制管理平台改造升级对提升机构编制管理服务水平的成效如何？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60"/>
        <w:gridCol w:w="997"/>
        <w:gridCol w:w="44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A、明显提升</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25</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247775" cy="114300"/>
                  <wp:effectExtent l="0" t="0" r="9525" b="0"/>
                  <wp:docPr id="31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01"/>
                          <pic:cNvPicPr>
                            <a:picLocks noChangeAspect="1"/>
                          </pic:cNvPicPr>
                        </pic:nvPicPr>
                        <pic:blipFill>
                          <a:blip r:embed="rId20"/>
                          <a:stretch>
                            <a:fillRect/>
                          </a:stretch>
                        </pic:blipFill>
                        <pic:spPr>
                          <a:xfrm>
                            <a:off x="0" y="0"/>
                            <a:ext cx="124777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04775" cy="114300"/>
                  <wp:effectExtent l="0" t="0" r="9525" b="0"/>
                  <wp:docPr id="31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02"/>
                          <pic:cNvPicPr>
                            <a:picLocks noChangeAspect="1"/>
                          </pic:cNvPicPr>
                        </pic:nvPicPr>
                        <pic:blipFill>
                          <a:blip r:embed="rId21"/>
                          <a:stretch>
                            <a:fillRect/>
                          </a:stretch>
                        </pic:blipFill>
                        <pic:spPr>
                          <a:xfrm>
                            <a:off x="0" y="0"/>
                            <a:ext cx="104775" cy="114300"/>
                          </a:xfrm>
                          <a:prstGeom prst="rect">
                            <a:avLst/>
                          </a:prstGeom>
                          <a:noFill/>
                          <a:ln>
                            <a:noFill/>
                          </a:ln>
                        </pic:spPr>
                      </pic:pic>
                    </a:graphicData>
                  </a:graphic>
                </wp:inline>
              </w:drawing>
            </w:r>
            <w:r>
              <w:rPr>
                <w:rFonts w:ascii="Times New Roman" w:hAnsi="Times New Roman" w:eastAsia="Times New Roman"/>
                <w:b w:val="0"/>
                <w:color w:val="000000"/>
                <w:kern w:val="0"/>
                <w:sz w:val="24"/>
              </w:rPr>
              <w:t>92.59%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 xml:space="preserve">  B、有提升  </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95250" cy="114300"/>
                  <wp:effectExtent l="0" t="0" r="0" b="0"/>
                  <wp:docPr id="31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03"/>
                          <pic:cNvPicPr>
                            <a:picLocks noChangeAspect="1"/>
                          </pic:cNvPicPr>
                        </pic:nvPicPr>
                        <pic:blipFill>
                          <a:blip r:embed="rId22"/>
                          <a:stretch>
                            <a:fillRect/>
                          </a:stretch>
                        </pic:blipFill>
                        <pic:spPr>
                          <a:xfrm>
                            <a:off x="0" y="0"/>
                            <a:ext cx="95250"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257300" cy="114300"/>
                  <wp:effectExtent l="0" t="0" r="0" b="0"/>
                  <wp:docPr id="31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04"/>
                          <pic:cNvPicPr>
                            <a:picLocks noChangeAspect="1"/>
                          </pic:cNvPicPr>
                        </pic:nvPicPr>
                        <pic:blipFill>
                          <a:blip r:embed="rId23"/>
                          <a:stretch>
                            <a:fillRect/>
                          </a:stretch>
                        </pic:blipFill>
                        <pic:spPr>
                          <a:xfrm>
                            <a:off x="0" y="0"/>
                            <a:ext cx="1257300" cy="114300"/>
                          </a:xfrm>
                          <a:prstGeom prst="rect">
                            <a:avLst/>
                          </a:prstGeom>
                          <a:noFill/>
                          <a:ln>
                            <a:noFill/>
                          </a:ln>
                        </pic:spPr>
                      </pic:pic>
                    </a:graphicData>
                  </a:graphic>
                </wp:inline>
              </w:drawing>
            </w:r>
            <w:r>
              <w:rPr>
                <w:rFonts w:ascii="Times New Roman" w:hAnsi="Times New Roman" w:eastAsia="Times New Roman"/>
                <w:b w:val="0"/>
                <w:color w:val="000000"/>
                <w:kern w:val="0"/>
                <w:sz w:val="24"/>
              </w:rPr>
              <w:t>7.41%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 xml:space="preserve"> C、一般  </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1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05"/>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 xml:space="preserve">  D、没有提升</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1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06"/>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第3题   您认为202</w:t>
      </w:r>
      <w:r>
        <w:rPr>
          <w:rFonts w:hint="eastAsia" w:ascii="Times New Roman" w:hAnsi="Times New Roman" w:eastAsia="宋体"/>
          <w:b w:val="0"/>
          <w:color w:val="000000"/>
          <w:kern w:val="0"/>
          <w:sz w:val="24"/>
          <w:lang w:val="en-US" w:eastAsia="zh-CN"/>
        </w:rPr>
        <w:t>1</w:t>
      </w:r>
      <w:r>
        <w:rPr>
          <w:rFonts w:ascii="Times New Roman" w:hAnsi="Times New Roman" w:eastAsia="Times New Roman"/>
          <w:b w:val="0"/>
          <w:color w:val="000000"/>
          <w:kern w:val="0"/>
          <w:sz w:val="24"/>
        </w:rPr>
        <w:t>年机构编制实名制管理平台、甘肃机构编制网等信息化系统运行是否正常？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140"/>
        <w:gridCol w:w="1023"/>
        <w:gridCol w:w="4359"/>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 xml:space="preserve">A、正常  </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26</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295400" cy="114300"/>
                  <wp:effectExtent l="0" t="0" r="0" b="0"/>
                  <wp:docPr id="31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07"/>
                          <pic:cNvPicPr>
                            <a:picLocks noChangeAspect="1"/>
                          </pic:cNvPicPr>
                        </pic:nvPicPr>
                        <pic:blipFill>
                          <a:blip r:embed="rId24"/>
                          <a:stretch>
                            <a:fillRect/>
                          </a:stretch>
                        </pic:blipFill>
                        <pic:spPr>
                          <a:xfrm>
                            <a:off x="0" y="0"/>
                            <a:ext cx="1295400"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57150" cy="114300"/>
                  <wp:effectExtent l="0" t="0" r="0" b="0"/>
                  <wp:docPr id="31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08"/>
                          <pic:cNvPicPr>
                            <a:picLocks noChangeAspect="1"/>
                          </pic:cNvPicPr>
                        </pic:nvPicPr>
                        <pic:blipFill>
                          <a:blip r:embed="rId25"/>
                          <a:stretch>
                            <a:fillRect/>
                          </a:stretch>
                        </pic:blipFill>
                        <pic:spPr>
                          <a:xfrm>
                            <a:off x="0" y="0"/>
                            <a:ext cx="57150" cy="114300"/>
                          </a:xfrm>
                          <a:prstGeom prst="rect">
                            <a:avLst/>
                          </a:prstGeom>
                          <a:noFill/>
                          <a:ln>
                            <a:noFill/>
                          </a:ln>
                        </pic:spPr>
                      </pic:pic>
                    </a:graphicData>
                  </a:graphic>
                </wp:inline>
              </w:drawing>
            </w:r>
            <w:r>
              <w:rPr>
                <w:rFonts w:ascii="Times New Roman" w:hAnsi="Times New Roman" w:eastAsia="Times New Roman"/>
                <w:b w:val="0"/>
                <w:color w:val="000000"/>
                <w:kern w:val="0"/>
                <w:sz w:val="24"/>
              </w:rPr>
              <w:t>96.3%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B、偶尔有故障</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1</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47625" cy="114300"/>
                  <wp:effectExtent l="0" t="0" r="9525" b="0"/>
                  <wp:docPr id="31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09"/>
                          <pic:cNvPicPr>
                            <a:picLocks noChangeAspect="1"/>
                          </pic:cNvPicPr>
                        </pic:nvPicPr>
                        <pic:blipFill>
                          <a:blip r:embed="rId26"/>
                          <a:stretch>
                            <a:fillRect/>
                          </a:stretch>
                        </pic:blipFill>
                        <pic:spPr>
                          <a:xfrm>
                            <a:off x="0" y="0"/>
                            <a:ext cx="4762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304925" cy="114300"/>
                  <wp:effectExtent l="0" t="0" r="9525" b="0"/>
                  <wp:docPr id="32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10"/>
                          <pic:cNvPicPr>
                            <a:picLocks noChangeAspect="1"/>
                          </pic:cNvPicPr>
                        </pic:nvPicPr>
                        <pic:blipFill>
                          <a:blip r:embed="rId27"/>
                          <a:stretch>
                            <a:fillRect/>
                          </a:stretch>
                        </pic:blipFill>
                        <pic:spPr>
                          <a:xfrm>
                            <a:off x="0" y="0"/>
                            <a:ext cx="1304925" cy="114300"/>
                          </a:xfrm>
                          <a:prstGeom prst="rect">
                            <a:avLst/>
                          </a:prstGeom>
                          <a:noFill/>
                          <a:ln>
                            <a:noFill/>
                          </a:ln>
                        </pic:spPr>
                      </pic:pic>
                    </a:graphicData>
                  </a:graphic>
                </wp:inline>
              </w:drawing>
            </w:r>
            <w:r>
              <w:rPr>
                <w:rFonts w:ascii="Times New Roman" w:hAnsi="Times New Roman" w:eastAsia="Times New Roman"/>
                <w:b w:val="0"/>
                <w:color w:val="000000"/>
                <w:kern w:val="0"/>
                <w:sz w:val="24"/>
              </w:rPr>
              <w:t>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C、故障频繁</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2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11"/>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第4题   您认为202</w:t>
      </w:r>
      <w:r>
        <w:rPr>
          <w:rFonts w:hint="eastAsia" w:ascii="Times New Roman" w:hAnsi="Times New Roman" w:eastAsia="宋体"/>
          <w:b w:val="0"/>
          <w:color w:val="000000"/>
          <w:kern w:val="0"/>
          <w:sz w:val="24"/>
          <w:lang w:val="en-US" w:eastAsia="zh-CN"/>
        </w:rPr>
        <w:t>1</w:t>
      </w:r>
      <w:r>
        <w:rPr>
          <w:rFonts w:ascii="Times New Roman" w:hAnsi="Times New Roman" w:eastAsia="Times New Roman"/>
          <w:b w:val="0"/>
          <w:color w:val="000000"/>
          <w:kern w:val="0"/>
          <w:sz w:val="24"/>
        </w:rPr>
        <w:t>年业务费项目对巩固深化我省机构改革成果的成效如何？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60"/>
        <w:gridCol w:w="997"/>
        <w:gridCol w:w="44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A、非常有效</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000125" cy="114300"/>
                  <wp:effectExtent l="0" t="0" r="9525" b="0"/>
                  <wp:docPr id="32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12"/>
                          <pic:cNvPicPr>
                            <a:picLocks noChangeAspect="1"/>
                          </pic:cNvPicPr>
                        </pic:nvPicPr>
                        <pic:blipFill>
                          <a:blip r:embed="rId28"/>
                          <a:stretch>
                            <a:fillRect/>
                          </a:stretch>
                        </pic:blipFill>
                        <pic:spPr>
                          <a:xfrm>
                            <a:off x="0" y="0"/>
                            <a:ext cx="100012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352425" cy="114300"/>
                  <wp:effectExtent l="0" t="0" r="9525" b="0"/>
                  <wp:docPr id="32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13"/>
                          <pic:cNvPicPr>
                            <a:picLocks noChangeAspect="1"/>
                          </pic:cNvPicPr>
                        </pic:nvPicPr>
                        <pic:blipFill>
                          <a:blip r:embed="rId29"/>
                          <a:stretch>
                            <a:fillRect/>
                          </a:stretch>
                        </pic:blipFill>
                        <pic:spPr>
                          <a:xfrm>
                            <a:off x="0" y="0"/>
                            <a:ext cx="352425" cy="114300"/>
                          </a:xfrm>
                          <a:prstGeom prst="rect">
                            <a:avLst/>
                          </a:prstGeom>
                          <a:noFill/>
                          <a:ln>
                            <a:noFill/>
                          </a:ln>
                        </pic:spPr>
                      </pic:pic>
                    </a:graphicData>
                  </a:graphic>
                </wp:inline>
              </w:drawing>
            </w:r>
            <w:r>
              <w:rPr>
                <w:rFonts w:ascii="Times New Roman" w:hAnsi="Times New Roman" w:eastAsia="Times New Roman"/>
                <w:b w:val="0"/>
                <w:color w:val="000000"/>
                <w:kern w:val="0"/>
                <w:sz w:val="24"/>
              </w:rPr>
              <w:t>74.07%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B、有效</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6</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295275" cy="114300"/>
                  <wp:effectExtent l="0" t="0" r="9525" b="0"/>
                  <wp:docPr id="32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14"/>
                          <pic:cNvPicPr>
                            <a:picLocks noChangeAspect="1"/>
                          </pic:cNvPicPr>
                        </pic:nvPicPr>
                        <pic:blipFill>
                          <a:blip r:embed="rId30"/>
                          <a:stretch>
                            <a:fillRect/>
                          </a:stretch>
                        </pic:blipFill>
                        <pic:spPr>
                          <a:xfrm>
                            <a:off x="0" y="0"/>
                            <a:ext cx="29527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057275" cy="114300"/>
                  <wp:effectExtent l="0" t="0" r="9525" b="0"/>
                  <wp:docPr id="32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15"/>
                          <pic:cNvPicPr>
                            <a:picLocks noChangeAspect="1"/>
                          </pic:cNvPicPr>
                        </pic:nvPicPr>
                        <pic:blipFill>
                          <a:blip r:embed="rId31"/>
                          <a:stretch>
                            <a:fillRect/>
                          </a:stretch>
                        </pic:blipFill>
                        <pic:spPr>
                          <a:xfrm>
                            <a:off x="0" y="0"/>
                            <a:ext cx="1057275" cy="114300"/>
                          </a:xfrm>
                          <a:prstGeom prst="rect">
                            <a:avLst/>
                          </a:prstGeom>
                          <a:noFill/>
                          <a:ln>
                            <a:noFill/>
                          </a:ln>
                        </pic:spPr>
                      </pic:pic>
                    </a:graphicData>
                  </a:graphic>
                </wp:inline>
              </w:drawing>
            </w:r>
            <w:r>
              <w:rPr>
                <w:rFonts w:ascii="Times New Roman" w:hAnsi="Times New Roman" w:eastAsia="Times New Roman"/>
                <w:b w:val="0"/>
                <w:color w:val="000000"/>
                <w:kern w:val="0"/>
                <w:sz w:val="24"/>
              </w:rP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C、一般</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1</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47625" cy="114300"/>
                  <wp:effectExtent l="0" t="0" r="9525" b="0"/>
                  <wp:docPr id="32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16"/>
                          <pic:cNvPicPr>
                            <a:picLocks noChangeAspect="1"/>
                          </pic:cNvPicPr>
                        </pic:nvPicPr>
                        <pic:blipFill>
                          <a:blip r:embed="rId26"/>
                          <a:stretch>
                            <a:fillRect/>
                          </a:stretch>
                        </pic:blipFill>
                        <pic:spPr>
                          <a:xfrm>
                            <a:off x="0" y="0"/>
                            <a:ext cx="4762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304925" cy="114300"/>
                  <wp:effectExtent l="0" t="0" r="9525" b="0"/>
                  <wp:docPr id="32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17"/>
                          <pic:cNvPicPr>
                            <a:picLocks noChangeAspect="1"/>
                          </pic:cNvPicPr>
                        </pic:nvPicPr>
                        <pic:blipFill>
                          <a:blip r:embed="rId27"/>
                          <a:stretch>
                            <a:fillRect/>
                          </a:stretch>
                        </pic:blipFill>
                        <pic:spPr>
                          <a:xfrm>
                            <a:off x="0" y="0"/>
                            <a:ext cx="1304925" cy="114300"/>
                          </a:xfrm>
                          <a:prstGeom prst="rect">
                            <a:avLst/>
                          </a:prstGeom>
                          <a:noFill/>
                          <a:ln>
                            <a:noFill/>
                          </a:ln>
                        </pic:spPr>
                      </pic:pic>
                    </a:graphicData>
                  </a:graphic>
                </wp:inline>
              </w:drawing>
            </w:r>
            <w:r>
              <w:rPr>
                <w:rFonts w:ascii="Times New Roman" w:hAnsi="Times New Roman" w:eastAsia="Times New Roman"/>
                <w:b w:val="0"/>
                <w:color w:val="000000"/>
                <w:kern w:val="0"/>
                <w:sz w:val="24"/>
              </w:rPr>
              <w:t>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D、没有效果</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2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18"/>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第5题   您认为202</w:t>
      </w:r>
      <w:r>
        <w:rPr>
          <w:rFonts w:hint="eastAsia" w:ascii="Times New Roman" w:hAnsi="Times New Roman" w:eastAsia="宋体"/>
          <w:b w:val="0"/>
          <w:color w:val="000000"/>
          <w:kern w:val="0"/>
          <w:sz w:val="24"/>
          <w:lang w:val="en-US" w:eastAsia="zh-CN"/>
        </w:rPr>
        <w:t>1</w:t>
      </w:r>
      <w:r>
        <w:rPr>
          <w:rFonts w:ascii="Times New Roman" w:hAnsi="Times New Roman" w:eastAsia="Times New Roman"/>
          <w:b w:val="0"/>
          <w:color w:val="000000"/>
          <w:kern w:val="0"/>
          <w:sz w:val="24"/>
        </w:rPr>
        <w:t>年业务费项目的实施对优化我省编制资源配置的成效如何？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60"/>
        <w:gridCol w:w="997"/>
        <w:gridCol w:w="44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A、非常有效</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21</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047750" cy="114300"/>
                  <wp:effectExtent l="0" t="0" r="0" b="0"/>
                  <wp:docPr id="32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19"/>
                          <pic:cNvPicPr>
                            <a:picLocks noChangeAspect="1"/>
                          </pic:cNvPicPr>
                        </pic:nvPicPr>
                        <pic:blipFill>
                          <a:blip r:embed="rId32"/>
                          <a:stretch>
                            <a:fillRect/>
                          </a:stretch>
                        </pic:blipFill>
                        <pic:spPr>
                          <a:xfrm>
                            <a:off x="0" y="0"/>
                            <a:ext cx="1047750"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304800" cy="114300"/>
                  <wp:effectExtent l="0" t="0" r="0" b="0"/>
                  <wp:docPr id="33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20"/>
                          <pic:cNvPicPr>
                            <a:picLocks noChangeAspect="1"/>
                          </pic:cNvPicPr>
                        </pic:nvPicPr>
                        <pic:blipFill>
                          <a:blip r:embed="rId33"/>
                          <a:stretch>
                            <a:fillRect/>
                          </a:stretch>
                        </pic:blipFill>
                        <pic:spPr>
                          <a:xfrm>
                            <a:off x="0" y="0"/>
                            <a:ext cx="304800" cy="114300"/>
                          </a:xfrm>
                          <a:prstGeom prst="rect">
                            <a:avLst/>
                          </a:prstGeom>
                          <a:noFill/>
                          <a:ln>
                            <a:noFill/>
                          </a:ln>
                        </pic:spPr>
                      </pic:pic>
                    </a:graphicData>
                  </a:graphic>
                </wp:inline>
              </w:drawing>
            </w:r>
            <w:r>
              <w:rPr>
                <w:rFonts w:ascii="Times New Roman" w:hAnsi="Times New Roman" w:eastAsia="Times New Roman"/>
                <w:b w:val="0"/>
                <w:color w:val="000000"/>
                <w:kern w:val="0"/>
                <w:sz w:val="24"/>
              </w:rPr>
              <w:t>77.78%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B、有效</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6</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295275" cy="114300"/>
                  <wp:effectExtent l="0" t="0" r="9525" b="0"/>
                  <wp:docPr id="33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21"/>
                          <pic:cNvPicPr>
                            <a:picLocks noChangeAspect="1"/>
                          </pic:cNvPicPr>
                        </pic:nvPicPr>
                        <pic:blipFill>
                          <a:blip r:embed="rId30"/>
                          <a:stretch>
                            <a:fillRect/>
                          </a:stretch>
                        </pic:blipFill>
                        <pic:spPr>
                          <a:xfrm>
                            <a:off x="0" y="0"/>
                            <a:ext cx="29527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057275" cy="114300"/>
                  <wp:effectExtent l="0" t="0" r="9525" b="0"/>
                  <wp:docPr id="33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22"/>
                          <pic:cNvPicPr>
                            <a:picLocks noChangeAspect="1"/>
                          </pic:cNvPicPr>
                        </pic:nvPicPr>
                        <pic:blipFill>
                          <a:blip r:embed="rId31"/>
                          <a:stretch>
                            <a:fillRect/>
                          </a:stretch>
                        </pic:blipFill>
                        <pic:spPr>
                          <a:xfrm>
                            <a:off x="0" y="0"/>
                            <a:ext cx="1057275" cy="114300"/>
                          </a:xfrm>
                          <a:prstGeom prst="rect">
                            <a:avLst/>
                          </a:prstGeom>
                          <a:noFill/>
                          <a:ln>
                            <a:noFill/>
                          </a:ln>
                        </pic:spPr>
                      </pic:pic>
                    </a:graphicData>
                  </a:graphic>
                </wp:inline>
              </w:drawing>
            </w:r>
            <w:r>
              <w:rPr>
                <w:rFonts w:ascii="Times New Roman" w:hAnsi="Times New Roman" w:eastAsia="Times New Roman"/>
                <w:b w:val="0"/>
                <w:color w:val="000000"/>
                <w:kern w:val="0"/>
                <w:sz w:val="24"/>
              </w:rP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C、一般</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3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23"/>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D、没有效果</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3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24"/>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第6题   您认为202</w:t>
      </w:r>
      <w:r>
        <w:rPr>
          <w:rFonts w:hint="eastAsia" w:ascii="Times New Roman" w:hAnsi="Times New Roman" w:eastAsia="宋体"/>
          <w:b w:val="0"/>
          <w:color w:val="000000"/>
          <w:kern w:val="0"/>
          <w:sz w:val="24"/>
          <w:lang w:val="en-US" w:eastAsia="zh-CN"/>
        </w:rPr>
        <w:t>1</w:t>
      </w:r>
      <w:r>
        <w:rPr>
          <w:rFonts w:ascii="Times New Roman" w:hAnsi="Times New Roman" w:eastAsia="Times New Roman"/>
          <w:b w:val="0"/>
          <w:color w:val="000000"/>
          <w:kern w:val="0"/>
          <w:sz w:val="24"/>
        </w:rPr>
        <w:t>年业务费项目的实施对推进我省重点领域改革的成效如何？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60"/>
        <w:gridCol w:w="997"/>
        <w:gridCol w:w="44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A、非常有效</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000125" cy="114300"/>
                  <wp:effectExtent l="0" t="0" r="9525" b="0"/>
                  <wp:docPr id="33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25"/>
                          <pic:cNvPicPr>
                            <a:picLocks noChangeAspect="1"/>
                          </pic:cNvPicPr>
                        </pic:nvPicPr>
                        <pic:blipFill>
                          <a:blip r:embed="rId28"/>
                          <a:stretch>
                            <a:fillRect/>
                          </a:stretch>
                        </pic:blipFill>
                        <pic:spPr>
                          <a:xfrm>
                            <a:off x="0" y="0"/>
                            <a:ext cx="100012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352425" cy="114300"/>
                  <wp:effectExtent l="0" t="0" r="9525" b="0"/>
                  <wp:docPr id="33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26"/>
                          <pic:cNvPicPr>
                            <a:picLocks noChangeAspect="1"/>
                          </pic:cNvPicPr>
                        </pic:nvPicPr>
                        <pic:blipFill>
                          <a:blip r:embed="rId29"/>
                          <a:stretch>
                            <a:fillRect/>
                          </a:stretch>
                        </pic:blipFill>
                        <pic:spPr>
                          <a:xfrm>
                            <a:off x="0" y="0"/>
                            <a:ext cx="352425" cy="114300"/>
                          </a:xfrm>
                          <a:prstGeom prst="rect">
                            <a:avLst/>
                          </a:prstGeom>
                          <a:noFill/>
                          <a:ln>
                            <a:noFill/>
                          </a:ln>
                        </pic:spPr>
                      </pic:pic>
                    </a:graphicData>
                  </a:graphic>
                </wp:inline>
              </w:drawing>
            </w:r>
            <w:r>
              <w:rPr>
                <w:rFonts w:ascii="Times New Roman" w:hAnsi="Times New Roman" w:eastAsia="Times New Roman"/>
                <w:b w:val="0"/>
                <w:color w:val="000000"/>
                <w:kern w:val="0"/>
                <w:sz w:val="24"/>
              </w:rPr>
              <w:t>74.07%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B、有效</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6</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295275" cy="114300"/>
                  <wp:effectExtent l="0" t="0" r="9525" b="0"/>
                  <wp:docPr id="33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27"/>
                          <pic:cNvPicPr>
                            <a:picLocks noChangeAspect="1"/>
                          </pic:cNvPicPr>
                        </pic:nvPicPr>
                        <pic:blipFill>
                          <a:blip r:embed="rId30"/>
                          <a:stretch>
                            <a:fillRect/>
                          </a:stretch>
                        </pic:blipFill>
                        <pic:spPr>
                          <a:xfrm>
                            <a:off x="0" y="0"/>
                            <a:ext cx="29527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057275" cy="114300"/>
                  <wp:effectExtent l="0" t="0" r="9525" b="0"/>
                  <wp:docPr id="33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28"/>
                          <pic:cNvPicPr>
                            <a:picLocks noChangeAspect="1"/>
                          </pic:cNvPicPr>
                        </pic:nvPicPr>
                        <pic:blipFill>
                          <a:blip r:embed="rId31"/>
                          <a:stretch>
                            <a:fillRect/>
                          </a:stretch>
                        </pic:blipFill>
                        <pic:spPr>
                          <a:xfrm>
                            <a:off x="0" y="0"/>
                            <a:ext cx="1057275" cy="114300"/>
                          </a:xfrm>
                          <a:prstGeom prst="rect">
                            <a:avLst/>
                          </a:prstGeom>
                          <a:noFill/>
                          <a:ln>
                            <a:noFill/>
                          </a:ln>
                        </pic:spPr>
                      </pic:pic>
                    </a:graphicData>
                  </a:graphic>
                </wp:inline>
              </w:drawing>
            </w:r>
            <w:r>
              <w:rPr>
                <w:rFonts w:ascii="Times New Roman" w:hAnsi="Times New Roman" w:eastAsia="Times New Roman"/>
                <w:b w:val="0"/>
                <w:color w:val="000000"/>
                <w:kern w:val="0"/>
                <w:sz w:val="24"/>
              </w:rP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C、一般</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1</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47625" cy="114300"/>
                  <wp:effectExtent l="0" t="0" r="9525" b="0"/>
                  <wp:docPr id="33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29"/>
                          <pic:cNvPicPr>
                            <a:picLocks noChangeAspect="1"/>
                          </pic:cNvPicPr>
                        </pic:nvPicPr>
                        <pic:blipFill>
                          <a:blip r:embed="rId26"/>
                          <a:stretch>
                            <a:fillRect/>
                          </a:stretch>
                        </pic:blipFill>
                        <pic:spPr>
                          <a:xfrm>
                            <a:off x="0" y="0"/>
                            <a:ext cx="4762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304925" cy="114300"/>
                  <wp:effectExtent l="0" t="0" r="9525" b="0"/>
                  <wp:docPr id="34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30"/>
                          <pic:cNvPicPr>
                            <a:picLocks noChangeAspect="1"/>
                          </pic:cNvPicPr>
                        </pic:nvPicPr>
                        <pic:blipFill>
                          <a:blip r:embed="rId27"/>
                          <a:stretch>
                            <a:fillRect/>
                          </a:stretch>
                        </pic:blipFill>
                        <pic:spPr>
                          <a:xfrm>
                            <a:off x="0" y="0"/>
                            <a:ext cx="1304925" cy="114300"/>
                          </a:xfrm>
                          <a:prstGeom prst="rect">
                            <a:avLst/>
                          </a:prstGeom>
                          <a:noFill/>
                          <a:ln>
                            <a:noFill/>
                          </a:ln>
                        </pic:spPr>
                      </pic:pic>
                    </a:graphicData>
                  </a:graphic>
                </wp:inline>
              </w:drawing>
            </w:r>
            <w:r>
              <w:rPr>
                <w:rFonts w:ascii="Times New Roman" w:hAnsi="Times New Roman" w:eastAsia="Times New Roman"/>
                <w:b w:val="0"/>
                <w:color w:val="000000"/>
                <w:kern w:val="0"/>
                <w:sz w:val="24"/>
              </w:rPr>
              <w:t>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D、没有效果</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4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31"/>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第7题   您认为202</w:t>
      </w:r>
      <w:r>
        <w:rPr>
          <w:rFonts w:hint="eastAsia" w:ascii="Times New Roman" w:hAnsi="Times New Roman" w:eastAsia="宋体"/>
          <w:b w:val="0"/>
          <w:color w:val="000000"/>
          <w:kern w:val="0"/>
          <w:sz w:val="24"/>
          <w:lang w:val="en-US" w:eastAsia="zh-CN"/>
        </w:rPr>
        <w:t>1</w:t>
      </w:r>
      <w:r>
        <w:rPr>
          <w:rFonts w:ascii="Times New Roman" w:hAnsi="Times New Roman" w:eastAsia="Times New Roman"/>
          <w:b w:val="0"/>
          <w:color w:val="000000"/>
          <w:kern w:val="0"/>
          <w:sz w:val="24"/>
        </w:rPr>
        <w:t>年业务费项目的实施对建立健全部门协作和信息共享的成效如何？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60"/>
        <w:gridCol w:w="997"/>
        <w:gridCol w:w="44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A、非常有效</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000125" cy="114300"/>
                  <wp:effectExtent l="0" t="0" r="9525" b="0"/>
                  <wp:docPr id="34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32"/>
                          <pic:cNvPicPr>
                            <a:picLocks noChangeAspect="1"/>
                          </pic:cNvPicPr>
                        </pic:nvPicPr>
                        <pic:blipFill>
                          <a:blip r:embed="rId28"/>
                          <a:stretch>
                            <a:fillRect/>
                          </a:stretch>
                        </pic:blipFill>
                        <pic:spPr>
                          <a:xfrm>
                            <a:off x="0" y="0"/>
                            <a:ext cx="100012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352425" cy="114300"/>
                  <wp:effectExtent l="0" t="0" r="9525" b="0"/>
                  <wp:docPr id="34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33"/>
                          <pic:cNvPicPr>
                            <a:picLocks noChangeAspect="1"/>
                          </pic:cNvPicPr>
                        </pic:nvPicPr>
                        <pic:blipFill>
                          <a:blip r:embed="rId29"/>
                          <a:stretch>
                            <a:fillRect/>
                          </a:stretch>
                        </pic:blipFill>
                        <pic:spPr>
                          <a:xfrm>
                            <a:off x="0" y="0"/>
                            <a:ext cx="352425" cy="114300"/>
                          </a:xfrm>
                          <a:prstGeom prst="rect">
                            <a:avLst/>
                          </a:prstGeom>
                          <a:noFill/>
                          <a:ln>
                            <a:noFill/>
                          </a:ln>
                        </pic:spPr>
                      </pic:pic>
                    </a:graphicData>
                  </a:graphic>
                </wp:inline>
              </w:drawing>
            </w:r>
            <w:r>
              <w:rPr>
                <w:rFonts w:ascii="Times New Roman" w:hAnsi="Times New Roman" w:eastAsia="Times New Roman"/>
                <w:b w:val="0"/>
                <w:color w:val="000000"/>
                <w:kern w:val="0"/>
                <w:sz w:val="24"/>
              </w:rPr>
              <w:t>74.07%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B、有效</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7</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342900" cy="114300"/>
                  <wp:effectExtent l="0" t="0" r="0" b="0"/>
                  <wp:docPr id="34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34"/>
                          <pic:cNvPicPr>
                            <a:picLocks noChangeAspect="1"/>
                          </pic:cNvPicPr>
                        </pic:nvPicPr>
                        <pic:blipFill>
                          <a:blip r:embed="rId34"/>
                          <a:stretch>
                            <a:fillRect/>
                          </a:stretch>
                        </pic:blipFill>
                        <pic:spPr>
                          <a:xfrm>
                            <a:off x="0" y="0"/>
                            <a:ext cx="342900"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009650" cy="114300"/>
                  <wp:effectExtent l="0" t="0" r="0" b="0"/>
                  <wp:docPr id="34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35"/>
                          <pic:cNvPicPr>
                            <a:picLocks noChangeAspect="1"/>
                          </pic:cNvPicPr>
                        </pic:nvPicPr>
                        <pic:blipFill>
                          <a:blip r:embed="rId35"/>
                          <a:stretch>
                            <a:fillRect/>
                          </a:stretch>
                        </pic:blipFill>
                        <pic:spPr>
                          <a:xfrm>
                            <a:off x="0" y="0"/>
                            <a:ext cx="1009650" cy="114300"/>
                          </a:xfrm>
                          <a:prstGeom prst="rect">
                            <a:avLst/>
                          </a:prstGeom>
                          <a:noFill/>
                          <a:ln>
                            <a:noFill/>
                          </a:ln>
                        </pic:spPr>
                      </pic:pic>
                    </a:graphicData>
                  </a:graphic>
                </wp:inline>
              </w:drawing>
            </w:r>
            <w:r>
              <w:rPr>
                <w:rFonts w:ascii="Times New Roman" w:hAnsi="Times New Roman" w:eastAsia="Times New Roman"/>
                <w:b w:val="0"/>
                <w:color w:val="000000"/>
                <w:kern w:val="0"/>
                <w:sz w:val="24"/>
              </w:rPr>
              <w:t>25.93%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C、一般</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4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36"/>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D、没有效果</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4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37"/>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第8题   您对</w:t>
      </w:r>
      <w:r>
        <w:rPr>
          <w:rFonts w:hint="eastAsia" w:ascii="Times New Roman" w:hAnsi="Times New Roman" w:eastAsia="宋体"/>
          <w:b w:val="0"/>
          <w:color w:val="000000"/>
          <w:kern w:val="0"/>
          <w:sz w:val="24"/>
          <w:lang w:eastAsia="zh-CN"/>
        </w:rPr>
        <w:t>省委编办2021年业务费项目</w:t>
      </w:r>
      <w:r>
        <w:rPr>
          <w:rFonts w:ascii="Times New Roman" w:hAnsi="Times New Roman" w:eastAsia="Times New Roman"/>
          <w:b w:val="0"/>
          <w:color w:val="000000"/>
          <w:kern w:val="0"/>
          <w:sz w:val="24"/>
        </w:rPr>
        <w:t>整体实施效果是否满意？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060"/>
        <w:gridCol w:w="997"/>
        <w:gridCol w:w="446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选项</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小计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A、非常满意</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23</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143000" cy="114300"/>
                  <wp:effectExtent l="0" t="0" r="0" b="0"/>
                  <wp:docPr id="34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38"/>
                          <pic:cNvPicPr>
                            <a:picLocks noChangeAspect="1"/>
                          </pic:cNvPicPr>
                        </pic:nvPicPr>
                        <pic:blipFill>
                          <a:blip r:embed="rId36"/>
                          <a:stretch>
                            <a:fillRect/>
                          </a:stretch>
                        </pic:blipFill>
                        <pic:spPr>
                          <a:xfrm>
                            <a:off x="0" y="0"/>
                            <a:ext cx="1143000"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209550" cy="114300"/>
                  <wp:effectExtent l="0" t="0" r="0" b="0"/>
                  <wp:docPr id="34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39"/>
                          <pic:cNvPicPr>
                            <a:picLocks noChangeAspect="1"/>
                          </pic:cNvPicPr>
                        </pic:nvPicPr>
                        <pic:blipFill>
                          <a:blip r:embed="rId37"/>
                          <a:stretch>
                            <a:fillRect/>
                          </a:stretch>
                        </pic:blipFill>
                        <pic:spPr>
                          <a:xfrm>
                            <a:off x="0" y="0"/>
                            <a:ext cx="209550" cy="114300"/>
                          </a:xfrm>
                          <a:prstGeom prst="rect">
                            <a:avLst/>
                          </a:prstGeom>
                          <a:noFill/>
                          <a:ln>
                            <a:noFill/>
                          </a:ln>
                        </pic:spPr>
                      </pic:pic>
                    </a:graphicData>
                  </a:graphic>
                </wp:inline>
              </w:drawing>
            </w:r>
            <w:r>
              <w:rPr>
                <w:rFonts w:ascii="Times New Roman" w:hAnsi="Times New Roman" w:eastAsia="Times New Roman"/>
                <w:b w:val="0"/>
                <w:color w:val="000000"/>
                <w:kern w:val="0"/>
                <w:sz w:val="24"/>
              </w:rPr>
              <w:t>85.19%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B、满意</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4</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200025" cy="114300"/>
                  <wp:effectExtent l="0" t="0" r="9525" b="0"/>
                  <wp:docPr id="35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40"/>
                          <pic:cNvPicPr>
                            <a:picLocks noChangeAspect="1"/>
                          </pic:cNvPicPr>
                        </pic:nvPicPr>
                        <pic:blipFill>
                          <a:blip r:embed="rId38"/>
                          <a:stretch>
                            <a:fillRect/>
                          </a:stretch>
                        </pic:blipFill>
                        <pic:spPr>
                          <a:xfrm>
                            <a:off x="0" y="0"/>
                            <a:ext cx="200025" cy="114300"/>
                          </a:xfrm>
                          <a:prstGeom prst="rect">
                            <a:avLst/>
                          </a:prstGeom>
                          <a:noFill/>
                          <a:ln>
                            <a:noFill/>
                          </a:ln>
                        </pic:spPr>
                      </pic:pic>
                    </a:graphicData>
                  </a:graphic>
                </wp:inline>
              </w:drawing>
            </w:r>
            <w:r>
              <w:rPr>
                <w:rFonts w:ascii="Times New Roman" w:hAnsi="Times New Roman" w:eastAsia="Times New Roman"/>
                <w:b w:val="0"/>
                <w:color w:val="000000"/>
                <w:kern w:val="0"/>
                <w:sz w:val="24"/>
              </w:rPr>
              <w:drawing>
                <wp:inline distT="0" distB="0" distL="114300" distR="114300">
                  <wp:extent cx="1152525" cy="114300"/>
                  <wp:effectExtent l="0" t="0" r="9525" b="0"/>
                  <wp:docPr id="35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41"/>
                          <pic:cNvPicPr>
                            <a:picLocks noChangeAspect="1"/>
                          </pic:cNvPicPr>
                        </pic:nvPicPr>
                        <pic:blipFill>
                          <a:blip r:embed="rId39"/>
                          <a:stretch>
                            <a:fillRect/>
                          </a:stretch>
                        </pic:blipFill>
                        <pic:spPr>
                          <a:xfrm>
                            <a:off x="0" y="0"/>
                            <a:ext cx="1152525" cy="114300"/>
                          </a:xfrm>
                          <a:prstGeom prst="rect">
                            <a:avLst/>
                          </a:prstGeom>
                          <a:noFill/>
                          <a:ln>
                            <a:noFill/>
                          </a:ln>
                        </pic:spPr>
                      </pic:pic>
                    </a:graphicData>
                  </a:graphic>
                </wp:inline>
              </w:drawing>
            </w:r>
            <w:r>
              <w:rPr>
                <w:rFonts w:ascii="Times New Roman" w:hAnsi="Times New Roman" w:eastAsia="Times New Roman"/>
                <w:b w:val="0"/>
                <w:color w:val="000000"/>
                <w:kern w:val="0"/>
                <w:sz w:val="24"/>
              </w:rPr>
              <w:t>14.81%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C、不满意</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FFFFF"/>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5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42"/>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D、非常不满意</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0</w:t>
            </w:r>
          </w:p>
        </w:tc>
        <w:tc>
          <w:tcPr>
            <w:shd w:val="clear" w:color="auto" w:fill="F9F9F9"/>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drawing>
                <wp:inline distT="0" distB="0" distL="114300" distR="114300">
                  <wp:extent cx="1352550" cy="114300"/>
                  <wp:effectExtent l="0" t="0" r="0" b="0"/>
                  <wp:docPr id="35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43"/>
                          <pic:cNvPicPr>
                            <a:picLocks noChangeAspect="1"/>
                          </pic:cNvPicPr>
                        </pic:nvPicPr>
                        <pic:blipFill>
                          <a:blip r:embed="rId19"/>
                          <a:stretch>
                            <a:fillRect/>
                          </a:stretch>
                        </pic:blipFill>
                        <pic:spPr>
                          <a:xfrm>
                            <a:off x="0" y="0"/>
                            <a:ext cx="1352550" cy="114300"/>
                          </a:xfrm>
                          <a:prstGeom prst="rect">
                            <a:avLst/>
                          </a:prstGeom>
                          <a:noFill/>
                          <a:ln>
                            <a:noFill/>
                          </a:ln>
                        </pic:spPr>
                      </pic:pic>
                    </a:graphicData>
                  </a:graphic>
                </wp:inline>
              </w:drawing>
            </w:r>
            <w:r>
              <w:rPr>
                <w:rFonts w:ascii="Times New Roman" w:hAnsi="Times New Roman" w:eastAsia="Times New Roman"/>
                <w:b w:val="0"/>
                <w:color w:val="000000"/>
                <w:kern w:val="0"/>
                <w:sz w:val="24"/>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本题有效填写人次</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r>
              <w:rPr>
                <w:rFonts w:ascii="Times New Roman" w:hAnsi="Times New Roman" w:eastAsia="Times New Roman"/>
                <w:b w:val="0"/>
                <w:color w:val="000000"/>
                <w:kern w:val="0"/>
                <w:sz w:val="24"/>
              </w:rPr>
              <w:t>27</w:t>
            </w:r>
          </w:p>
        </w:tc>
        <w:tc>
          <w:tcPr>
            <w:shd w:val="clear" w:color="auto" w:fill="E0E0E0"/>
            <w:vAlign w:val="center"/>
          </w:tcPr>
          <w:p>
            <w:pPr>
              <w:widowControl/>
              <w:spacing w:line="240" w:lineRule="auto"/>
              <w:ind w:firstLine="0" w:firstLineChars="0"/>
              <w:jc w:val="left"/>
              <w:rPr>
                <w:rFonts w:ascii="Times New Roman" w:hAnsi="Times New Roman" w:eastAsia="Times New Roman"/>
                <w:b w:val="0"/>
                <w:color w:val="000000"/>
                <w:kern w:val="0"/>
                <w:sz w:val="24"/>
              </w:rPr>
            </w:pPr>
          </w:p>
        </w:tc>
      </w:tr>
    </w:tbl>
    <w:p>
      <w:pPr>
        <w:widowControl/>
        <w:spacing w:line="240" w:lineRule="auto"/>
        <w:ind w:firstLine="0" w:firstLineChars="0"/>
        <w:jc w:val="left"/>
        <w:rPr>
          <w:rFonts w:ascii="Times New Roman" w:hAnsi="Times New Roman" w:eastAsia="Times New Roman"/>
          <w:b w:val="0"/>
          <w:color w:val="000000"/>
          <w:kern w:val="0"/>
          <w:sz w:val="24"/>
        </w:rPr>
      </w:pPr>
    </w:p>
    <w:p>
      <w:pPr>
        <w:widowControl/>
        <w:spacing w:line="240" w:lineRule="auto"/>
        <w:ind w:firstLine="0" w:firstLineChars="0"/>
        <w:jc w:val="left"/>
        <w:rPr>
          <w:rFonts w:hint="eastAsia" w:eastAsia="仿宋_GB2312"/>
          <w:lang w:eastAsia="zh-CN"/>
        </w:rPr>
      </w:pPr>
      <w:r>
        <w:rPr>
          <w:rFonts w:ascii="Times New Roman" w:hAnsi="Times New Roman" w:eastAsia="Times New Roman"/>
          <w:b w:val="0"/>
          <w:color w:val="000000"/>
          <w:kern w:val="0"/>
          <w:sz w:val="24"/>
        </w:rPr>
        <w:t>第9题   您对</w:t>
      </w:r>
      <w:r>
        <w:rPr>
          <w:rFonts w:hint="eastAsia" w:ascii="Times New Roman" w:hAnsi="Times New Roman" w:eastAsia="宋体"/>
          <w:b w:val="0"/>
          <w:color w:val="000000"/>
          <w:kern w:val="0"/>
          <w:sz w:val="24"/>
          <w:lang w:eastAsia="zh-CN"/>
        </w:rPr>
        <w:t>省委编办</w:t>
      </w:r>
      <w:r>
        <w:rPr>
          <w:rFonts w:ascii="Times New Roman" w:hAnsi="Times New Roman" w:eastAsia="Times New Roman"/>
          <w:b w:val="0"/>
          <w:color w:val="000000"/>
          <w:kern w:val="0"/>
          <w:sz w:val="24"/>
        </w:rPr>
        <w:t>以后年度实施专项业务费项目有哪些建议？  [填空题]</w:t>
      </w: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Geneva">
    <w:altName w:val="Arial"/>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汉仪旗黑-55简">
    <w:altName w:val="黑体"/>
    <w:panose1 w:val="00020600040101010101"/>
    <w:charset w:val="8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rPr>
                        <w:rFonts w:hint="default"/>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- 1 -</w:t>
                          </w:r>
                          <w:r>
                            <w:rPr>
                              <w:rFonts w:hint="default" w:ascii="Times New Roman" w:hAnsi="Times New Roman" w:cs="Times New Roman"/>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default" w:ascii="Times New Roman" w:hAnsi="Times New Roman" w:cs="Times New Roman"/>
                        <w:sz w:val="32"/>
                        <w:szCs w:val="48"/>
                      </w:rPr>
                      <w:fldChar w:fldCharType="begin"/>
                    </w:r>
                    <w:r>
                      <w:rPr>
                        <w:rFonts w:hint="default" w:ascii="Times New Roman" w:hAnsi="Times New Roman" w:cs="Times New Roman"/>
                        <w:sz w:val="32"/>
                        <w:szCs w:val="48"/>
                      </w:rPr>
                      <w:instrText xml:space="preserve"> PAGE  \* MERGEFORMAT </w:instrText>
                    </w:r>
                    <w:r>
                      <w:rPr>
                        <w:rFonts w:hint="default" w:ascii="Times New Roman" w:hAnsi="Times New Roman" w:cs="Times New Roman"/>
                        <w:sz w:val="32"/>
                        <w:szCs w:val="48"/>
                      </w:rPr>
                      <w:fldChar w:fldCharType="separate"/>
                    </w:r>
                    <w:r>
                      <w:rPr>
                        <w:rFonts w:hint="default" w:ascii="Times New Roman" w:hAnsi="Times New Roman" w:cs="Times New Roman"/>
                        <w:sz w:val="32"/>
                        <w:szCs w:val="48"/>
                      </w:rPr>
                      <w:t>- 1 -</w:t>
                    </w:r>
                    <w:r>
                      <w:rPr>
                        <w:rFonts w:hint="default" w:ascii="Times New Roman" w:hAnsi="Times New Roman" w:cs="Times New Roman"/>
                        <w:sz w:val="32"/>
                        <w:szCs w:val="48"/>
                      </w:rP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default"/>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63</w:t>
                          </w:r>
                          <w:r>
                            <w:rPr>
                              <w:rFonts w:hint="eastAsia"/>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仿宋_GB2312"/>
                        <w:sz w:val="32"/>
                        <w:szCs w:val="48"/>
                        <w:lang w:eastAsia="zh-CN"/>
                      </w:rPr>
                    </w:pPr>
                    <w:r>
                      <w:rPr>
                        <w:rFonts w:hint="eastAsia"/>
                        <w:sz w:val="32"/>
                        <w:szCs w:val="48"/>
                        <w:lang w:eastAsia="zh-CN"/>
                      </w:rPr>
                      <w:fldChar w:fldCharType="begin"/>
                    </w:r>
                    <w:r>
                      <w:rPr>
                        <w:rFonts w:hint="eastAsia"/>
                        <w:sz w:val="32"/>
                        <w:szCs w:val="48"/>
                        <w:lang w:eastAsia="zh-CN"/>
                      </w:rPr>
                      <w:instrText xml:space="preserve"> PAGE  \* MERGEFORMAT </w:instrText>
                    </w:r>
                    <w:r>
                      <w:rPr>
                        <w:rFonts w:hint="eastAsia"/>
                        <w:sz w:val="32"/>
                        <w:szCs w:val="48"/>
                        <w:lang w:eastAsia="zh-CN"/>
                      </w:rPr>
                      <w:fldChar w:fldCharType="separate"/>
                    </w:r>
                    <w:r>
                      <w:rPr>
                        <w:rFonts w:hint="eastAsia"/>
                        <w:sz w:val="32"/>
                        <w:szCs w:val="48"/>
                        <w:lang w:eastAsia="zh-CN"/>
                      </w:rPr>
                      <w:t>63</w:t>
                    </w:r>
                    <w:r>
                      <w:rPr>
                        <w:rFonts w:hint="eastAsia"/>
                        <w:sz w:val="32"/>
                        <w:szCs w:val="4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360"/>
      <w:jc w:val="right"/>
    </w:pPr>
    <w:r>
      <w:rPr>
        <w:rFonts w:hint="eastAsia"/>
        <w:lang w:eastAsia="zh-CN"/>
      </w:rPr>
      <w:t>中共甘肃省委机构编制委员会办公室</w:t>
    </w:r>
    <w:r>
      <w:rPr>
        <w:rFonts w:hint="eastAsia"/>
        <w:lang w:val="en-US" w:eastAsia="zh-CN"/>
      </w:rPr>
      <w:t>2021年</w:t>
    </w:r>
    <w:r>
      <w:rPr>
        <w:rFonts w:hint="eastAsia"/>
        <w:lang w:eastAsia="zh-CN"/>
      </w:rPr>
      <w:t>专项业务费项目支出</w:t>
    </w:r>
    <w:r>
      <w:rPr>
        <w:rFonts w:hint="eastAsia"/>
      </w:rPr>
      <w:t>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3F"/>
    <w:rsid w:val="00017170"/>
    <w:rsid w:val="00022520"/>
    <w:rsid w:val="0006144C"/>
    <w:rsid w:val="00074C57"/>
    <w:rsid w:val="00082B8E"/>
    <w:rsid w:val="00083E78"/>
    <w:rsid w:val="000F3378"/>
    <w:rsid w:val="000F3929"/>
    <w:rsid w:val="00107D14"/>
    <w:rsid w:val="0012699F"/>
    <w:rsid w:val="0012776A"/>
    <w:rsid w:val="00163144"/>
    <w:rsid w:val="00173932"/>
    <w:rsid w:val="001934D2"/>
    <w:rsid w:val="001B4F6E"/>
    <w:rsid w:val="001C1487"/>
    <w:rsid w:val="001C2486"/>
    <w:rsid w:val="001D03C7"/>
    <w:rsid w:val="001D0DAE"/>
    <w:rsid w:val="001F1495"/>
    <w:rsid w:val="00205745"/>
    <w:rsid w:val="00224F01"/>
    <w:rsid w:val="002314E2"/>
    <w:rsid w:val="00233868"/>
    <w:rsid w:val="00237D53"/>
    <w:rsid w:val="0028638C"/>
    <w:rsid w:val="0029669C"/>
    <w:rsid w:val="002A5A84"/>
    <w:rsid w:val="002C4C00"/>
    <w:rsid w:val="002C60D8"/>
    <w:rsid w:val="002E2F11"/>
    <w:rsid w:val="00307D4A"/>
    <w:rsid w:val="00314936"/>
    <w:rsid w:val="003E1885"/>
    <w:rsid w:val="0043281F"/>
    <w:rsid w:val="00441624"/>
    <w:rsid w:val="00445206"/>
    <w:rsid w:val="00465671"/>
    <w:rsid w:val="00487C5E"/>
    <w:rsid w:val="00490DC7"/>
    <w:rsid w:val="004A5CBC"/>
    <w:rsid w:val="004B2B6A"/>
    <w:rsid w:val="004B6DC8"/>
    <w:rsid w:val="004B72E6"/>
    <w:rsid w:val="004D4EE9"/>
    <w:rsid w:val="00516FD4"/>
    <w:rsid w:val="00522BD0"/>
    <w:rsid w:val="005549CE"/>
    <w:rsid w:val="00573AB2"/>
    <w:rsid w:val="00575CBB"/>
    <w:rsid w:val="00585B7E"/>
    <w:rsid w:val="005875F5"/>
    <w:rsid w:val="00593C76"/>
    <w:rsid w:val="005B72B0"/>
    <w:rsid w:val="005C235C"/>
    <w:rsid w:val="005D7879"/>
    <w:rsid w:val="005E1C21"/>
    <w:rsid w:val="0064124B"/>
    <w:rsid w:val="006820BF"/>
    <w:rsid w:val="00683E07"/>
    <w:rsid w:val="006A7078"/>
    <w:rsid w:val="006E0388"/>
    <w:rsid w:val="006F19DC"/>
    <w:rsid w:val="007556A9"/>
    <w:rsid w:val="00757659"/>
    <w:rsid w:val="00776E62"/>
    <w:rsid w:val="0077771A"/>
    <w:rsid w:val="0078499F"/>
    <w:rsid w:val="00797656"/>
    <w:rsid w:val="00802AE5"/>
    <w:rsid w:val="0081425A"/>
    <w:rsid w:val="008320DC"/>
    <w:rsid w:val="0083735E"/>
    <w:rsid w:val="008411E1"/>
    <w:rsid w:val="008936AE"/>
    <w:rsid w:val="008A17C8"/>
    <w:rsid w:val="008B036B"/>
    <w:rsid w:val="008B2DFA"/>
    <w:rsid w:val="008B7ED7"/>
    <w:rsid w:val="008C73F2"/>
    <w:rsid w:val="008D3B85"/>
    <w:rsid w:val="008D3DD0"/>
    <w:rsid w:val="008E66EA"/>
    <w:rsid w:val="00934EE2"/>
    <w:rsid w:val="0094713D"/>
    <w:rsid w:val="0095099E"/>
    <w:rsid w:val="009637BF"/>
    <w:rsid w:val="00981544"/>
    <w:rsid w:val="00995BE6"/>
    <w:rsid w:val="009A2624"/>
    <w:rsid w:val="009C17EE"/>
    <w:rsid w:val="009E000C"/>
    <w:rsid w:val="009E3488"/>
    <w:rsid w:val="009F6AA6"/>
    <w:rsid w:val="00A11F43"/>
    <w:rsid w:val="00A410CE"/>
    <w:rsid w:val="00A50972"/>
    <w:rsid w:val="00A5117C"/>
    <w:rsid w:val="00A526A4"/>
    <w:rsid w:val="00A6517F"/>
    <w:rsid w:val="00A67BEF"/>
    <w:rsid w:val="00A97FF8"/>
    <w:rsid w:val="00AB53A5"/>
    <w:rsid w:val="00AB6457"/>
    <w:rsid w:val="00AE46A0"/>
    <w:rsid w:val="00AE6572"/>
    <w:rsid w:val="00AF664A"/>
    <w:rsid w:val="00B04346"/>
    <w:rsid w:val="00B06DD2"/>
    <w:rsid w:val="00B14FA8"/>
    <w:rsid w:val="00B16D18"/>
    <w:rsid w:val="00B176AC"/>
    <w:rsid w:val="00B82F0D"/>
    <w:rsid w:val="00BA384B"/>
    <w:rsid w:val="00BB442C"/>
    <w:rsid w:val="00BE3DD8"/>
    <w:rsid w:val="00C0158A"/>
    <w:rsid w:val="00C149CB"/>
    <w:rsid w:val="00C1717A"/>
    <w:rsid w:val="00C203F3"/>
    <w:rsid w:val="00C22424"/>
    <w:rsid w:val="00C44A98"/>
    <w:rsid w:val="00C72602"/>
    <w:rsid w:val="00C90124"/>
    <w:rsid w:val="00CC4EAC"/>
    <w:rsid w:val="00CE4524"/>
    <w:rsid w:val="00D2318E"/>
    <w:rsid w:val="00D50708"/>
    <w:rsid w:val="00D57BCE"/>
    <w:rsid w:val="00D66E17"/>
    <w:rsid w:val="00D93083"/>
    <w:rsid w:val="00D95AC0"/>
    <w:rsid w:val="00DA6870"/>
    <w:rsid w:val="00DD7F3D"/>
    <w:rsid w:val="00DF4AC3"/>
    <w:rsid w:val="00E07900"/>
    <w:rsid w:val="00E57C1D"/>
    <w:rsid w:val="00E862AB"/>
    <w:rsid w:val="00E93890"/>
    <w:rsid w:val="00EB4911"/>
    <w:rsid w:val="00EC6A2C"/>
    <w:rsid w:val="00ED5AE0"/>
    <w:rsid w:val="00ED7CC8"/>
    <w:rsid w:val="00EE3E4B"/>
    <w:rsid w:val="00F000A2"/>
    <w:rsid w:val="00F12514"/>
    <w:rsid w:val="00F16771"/>
    <w:rsid w:val="00F21EB3"/>
    <w:rsid w:val="00F44BB9"/>
    <w:rsid w:val="00F544F5"/>
    <w:rsid w:val="00F64400"/>
    <w:rsid w:val="00F72FF8"/>
    <w:rsid w:val="00F77586"/>
    <w:rsid w:val="00FA5AB3"/>
    <w:rsid w:val="00FB3307"/>
    <w:rsid w:val="00FB55F1"/>
    <w:rsid w:val="00FB7AF7"/>
    <w:rsid w:val="00FD32D3"/>
    <w:rsid w:val="00FD4511"/>
    <w:rsid w:val="011828F4"/>
    <w:rsid w:val="011F5401"/>
    <w:rsid w:val="014D571F"/>
    <w:rsid w:val="01585ED0"/>
    <w:rsid w:val="01593C58"/>
    <w:rsid w:val="01754069"/>
    <w:rsid w:val="01B87CB5"/>
    <w:rsid w:val="01BB0633"/>
    <w:rsid w:val="02377E6E"/>
    <w:rsid w:val="025031FD"/>
    <w:rsid w:val="02583506"/>
    <w:rsid w:val="02725759"/>
    <w:rsid w:val="02A6765F"/>
    <w:rsid w:val="02CE55B9"/>
    <w:rsid w:val="02ED5160"/>
    <w:rsid w:val="02FE0C23"/>
    <w:rsid w:val="031333F8"/>
    <w:rsid w:val="034363E4"/>
    <w:rsid w:val="03B66F0A"/>
    <w:rsid w:val="03D509D0"/>
    <w:rsid w:val="03E437FF"/>
    <w:rsid w:val="040E198B"/>
    <w:rsid w:val="04575F80"/>
    <w:rsid w:val="045966EF"/>
    <w:rsid w:val="045F6A2B"/>
    <w:rsid w:val="04725845"/>
    <w:rsid w:val="0486587C"/>
    <w:rsid w:val="048C4C4C"/>
    <w:rsid w:val="04956798"/>
    <w:rsid w:val="04AB6155"/>
    <w:rsid w:val="04C175CD"/>
    <w:rsid w:val="04E00D5D"/>
    <w:rsid w:val="04EA0B44"/>
    <w:rsid w:val="04F22600"/>
    <w:rsid w:val="04FD505C"/>
    <w:rsid w:val="052E24CB"/>
    <w:rsid w:val="058123A5"/>
    <w:rsid w:val="05D03C75"/>
    <w:rsid w:val="062E7D7C"/>
    <w:rsid w:val="064A4AA5"/>
    <w:rsid w:val="065C4F17"/>
    <w:rsid w:val="06A43E63"/>
    <w:rsid w:val="06BB7186"/>
    <w:rsid w:val="06C35FFC"/>
    <w:rsid w:val="06CF07B2"/>
    <w:rsid w:val="07335E32"/>
    <w:rsid w:val="073D011F"/>
    <w:rsid w:val="073F39C3"/>
    <w:rsid w:val="075D0F6E"/>
    <w:rsid w:val="07957403"/>
    <w:rsid w:val="07A707D8"/>
    <w:rsid w:val="07AA620C"/>
    <w:rsid w:val="07C86592"/>
    <w:rsid w:val="08020360"/>
    <w:rsid w:val="080B7F99"/>
    <w:rsid w:val="080F0A3B"/>
    <w:rsid w:val="08147646"/>
    <w:rsid w:val="0817401D"/>
    <w:rsid w:val="081F1656"/>
    <w:rsid w:val="084357D1"/>
    <w:rsid w:val="088B469B"/>
    <w:rsid w:val="08D0049C"/>
    <w:rsid w:val="08D776C0"/>
    <w:rsid w:val="08EC24E1"/>
    <w:rsid w:val="08F06954"/>
    <w:rsid w:val="091553D1"/>
    <w:rsid w:val="09294BBD"/>
    <w:rsid w:val="093916B9"/>
    <w:rsid w:val="09430380"/>
    <w:rsid w:val="097428AA"/>
    <w:rsid w:val="097D4758"/>
    <w:rsid w:val="097D47AD"/>
    <w:rsid w:val="098F2613"/>
    <w:rsid w:val="09BA66C6"/>
    <w:rsid w:val="09E5588B"/>
    <w:rsid w:val="0A2E22BE"/>
    <w:rsid w:val="0A9F31B4"/>
    <w:rsid w:val="0AB1486A"/>
    <w:rsid w:val="0ADF12DF"/>
    <w:rsid w:val="0B003E56"/>
    <w:rsid w:val="0B314F02"/>
    <w:rsid w:val="0B807698"/>
    <w:rsid w:val="0B811E5F"/>
    <w:rsid w:val="0B8F450C"/>
    <w:rsid w:val="0BA25630"/>
    <w:rsid w:val="0BA67690"/>
    <w:rsid w:val="0BBB43D6"/>
    <w:rsid w:val="0BDF7B4C"/>
    <w:rsid w:val="0BE9660E"/>
    <w:rsid w:val="0C266366"/>
    <w:rsid w:val="0C8B4417"/>
    <w:rsid w:val="0CDD1742"/>
    <w:rsid w:val="0CF51314"/>
    <w:rsid w:val="0D1B0C0E"/>
    <w:rsid w:val="0D1B3D18"/>
    <w:rsid w:val="0D2E63E7"/>
    <w:rsid w:val="0DA574CB"/>
    <w:rsid w:val="0DD54BC0"/>
    <w:rsid w:val="0DFB219E"/>
    <w:rsid w:val="0E0007E7"/>
    <w:rsid w:val="0E1018AE"/>
    <w:rsid w:val="0E193BCE"/>
    <w:rsid w:val="0E2D48D0"/>
    <w:rsid w:val="0E2F540E"/>
    <w:rsid w:val="0E48274F"/>
    <w:rsid w:val="0E5805B1"/>
    <w:rsid w:val="0E8764E7"/>
    <w:rsid w:val="0ED43CBD"/>
    <w:rsid w:val="0EDC5591"/>
    <w:rsid w:val="0EDE4492"/>
    <w:rsid w:val="0EE2402B"/>
    <w:rsid w:val="0F07766C"/>
    <w:rsid w:val="0F0B26DF"/>
    <w:rsid w:val="0F8D2B78"/>
    <w:rsid w:val="0F955ABE"/>
    <w:rsid w:val="0F9E4B53"/>
    <w:rsid w:val="0FB24C3D"/>
    <w:rsid w:val="0FB32EF7"/>
    <w:rsid w:val="0FDB02D5"/>
    <w:rsid w:val="100A0B40"/>
    <w:rsid w:val="100D0D5B"/>
    <w:rsid w:val="101A398B"/>
    <w:rsid w:val="101E361E"/>
    <w:rsid w:val="10281F4B"/>
    <w:rsid w:val="104517F0"/>
    <w:rsid w:val="104F3A52"/>
    <w:rsid w:val="107019AD"/>
    <w:rsid w:val="107F6FF3"/>
    <w:rsid w:val="108E240F"/>
    <w:rsid w:val="10942AFA"/>
    <w:rsid w:val="10B739DE"/>
    <w:rsid w:val="10BB3D64"/>
    <w:rsid w:val="10DF3919"/>
    <w:rsid w:val="110E25A5"/>
    <w:rsid w:val="11335502"/>
    <w:rsid w:val="11385143"/>
    <w:rsid w:val="114A04B6"/>
    <w:rsid w:val="11A277A0"/>
    <w:rsid w:val="11A35AAF"/>
    <w:rsid w:val="11B94856"/>
    <w:rsid w:val="11C301EA"/>
    <w:rsid w:val="11D320E7"/>
    <w:rsid w:val="11E20ADB"/>
    <w:rsid w:val="11FB02EC"/>
    <w:rsid w:val="120874D5"/>
    <w:rsid w:val="120A301E"/>
    <w:rsid w:val="12675DD6"/>
    <w:rsid w:val="127D1D1E"/>
    <w:rsid w:val="12AF5326"/>
    <w:rsid w:val="12B60AA3"/>
    <w:rsid w:val="12F03050"/>
    <w:rsid w:val="13004FA5"/>
    <w:rsid w:val="135B7C20"/>
    <w:rsid w:val="13671510"/>
    <w:rsid w:val="136E2940"/>
    <w:rsid w:val="13765967"/>
    <w:rsid w:val="138511BD"/>
    <w:rsid w:val="13B1073D"/>
    <w:rsid w:val="13B424BE"/>
    <w:rsid w:val="13B6443B"/>
    <w:rsid w:val="13F662A6"/>
    <w:rsid w:val="13FF5AEF"/>
    <w:rsid w:val="14155506"/>
    <w:rsid w:val="141B1E87"/>
    <w:rsid w:val="14345B51"/>
    <w:rsid w:val="143D17DE"/>
    <w:rsid w:val="14687430"/>
    <w:rsid w:val="14716557"/>
    <w:rsid w:val="14722351"/>
    <w:rsid w:val="14816315"/>
    <w:rsid w:val="14913643"/>
    <w:rsid w:val="14B67150"/>
    <w:rsid w:val="14BF5777"/>
    <w:rsid w:val="14E204E0"/>
    <w:rsid w:val="14FD76E3"/>
    <w:rsid w:val="15157828"/>
    <w:rsid w:val="15184885"/>
    <w:rsid w:val="154A64F2"/>
    <w:rsid w:val="155D5258"/>
    <w:rsid w:val="15681D99"/>
    <w:rsid w:val="15D71A89"/>
    <w:rsid w:val="164B2213"/>
    <w:rsid w:val="16AB610D"/>
    <w:rsid w:val="16D348EB"/>
    <w:rsid w:val="16ED74A0"/>
    <w:rsid w:val="16EF0BF4"/>
    <w:rsid w:val="16F93088"/>
    <w:rsid w:val="16FF1EFC"/>
    <w:rsid w:val="171E29E4"/>
    <w:rsid w:val="175F6B4F"/>
    <w:rsid w:val="17931A2D"/>
    <w:rsid w:val="18102996"/>
    <w:rsid w:val="1812488B"/>
    <w:rsid w:val="183C4499"/>
    <w:rsid w:val="1850560B"/>
    <w:rsid w:val="18662636"/>
    <w:rsid w:val="18834ADC"/>
    <w:rsid w:val="18905816"/>
    <w:rsid w:val="18941544"/>
    <w:rsid w:val="18C767C3"/>
    <w:rsid w:val="18D32EC0"/>
    <w:rsid w:val="18D66EDA"/>
    <w:rsid w:val="18D77CDC"/>
    <w:rsid w:val="19131731"/>
    <w:rsid w:val="193D3D99"/>
    <w:rsid w:val="19660B16"/>
    <w:rsid w:val="196F5ECD"/>
    <w:rsid w:val="19885F42"/>
    <w:rsid w:val="19BB6952"/>
    <w:rsid w:val="19BD06E8"/>
    <w:rsid w:val="19CB4ED1"/>
    <w:rsid w:val="19E13FFE"/>
    <w:rsid w:val="19E32369"/>
    <w:rsid w:val="19EF6829"/>
    <w:rsid w:val="1A0D483E"/>
    <w:rsid w:val="1A341540"/>
    <w:rsid w:val="1A996AE9"/>
    <w:rsid w:val="1AC91C0F"/>
    <w:rsid w:val="1AD437FE"/>
    <w:rsid w:val="1AE23E3F"/>
    <w:rsid w:val="1AF22488"/>
    <w:rsid w:val="1B0E37E0"/>
    <w:rsid w:val="1B786CF4"/>
    <w:rsid w:val="1B9163AC"/>
    <w:rsid w:val="1BF72CE3"/>
    <w:rsid w:val="1C276060"/>
    <w:rsid w:val="1C31644D"/>
    <w:rsid w:val="1C3860C1"/>
    <w:rsid w:val="1C502E0E"/>
    <w:rsid w:val="1C546081"/>
    <w:rsid w:val="1C897A6E"/>
    <w:rsid w:val="1CBD68FF"/>
    <w:rsid w:val="1CC466DE"/>
    <w:rsid w:val="1CE40428"/>
    <w:rsid w:val="1CEB5AB7"/>
    <w:rsid w:val="1D0F15E9"/>
    <w:rsid w:val="1D102B8F"/>
    <w:rsid w:val="1D133025"/>
    <w:rsid w:val="1D4D0764"/>
    <w:rsid w:val="1D4F57E9"/>
    <w:rsid w:val="1D5048D1"/>
    <w:rsid w:val="1D5537E7"/>
    <w:rsid w:val="1DA358AD"/>
    <w:rsid w:val="1DBD72F5"/>
    <w:rsid w:val="1DC17FD0"/>
    <w:rsid w:val="1DDD2485"/>
    <w:rsid w:val="1DE90735"/>
    <w:rsid w:val="1DFE4DC5"/>
    <w:rsid w:val="1E1157C0"/>
    <w:rsid w:val="1E3E7ABD"/>
    <w:rsid w:val="1E507E11"/>
    <w:rsid w:val="1E545413"/>
    <w:rsid w:val="1E80713D"/>
    <w:rsid w:val="1E8351E5"/>
    <w:rsid w:val="1E956957"/>
    <w:rsid w:val="1EB62CC4"/>
    <w:rsid w:val="1F0159D0"/>
    <w:rsid w:val="1F2E1E77"/>
    <w:rsid w:val="1F3C4867"/>
    <w:rsid w:val="1F871375"/>
    <w:rsid w:val="1F8E398B"/>
    <w:rsid w:val="20155185"/>
    <w:rsid w:val="20217FD1"/>
    <w:rsid w:val="203E6377"/>
    <w:rsid w:val="20556324"/>
    <w:rsid w:val="20673A0C"/>
    <w:rsid w:val="207E60E4"/>
    <w:rsid w:val="207F1FED"/>
    <w:rsid w:val="20A215C8"/>
    <w:rsid w:val="20A75E18"/>
    <w:rsid w:val="20AF06D6"/>
    <w:rsid w:val="20B01E77"/>
    <w:rsid w:val="21D11103"/>
    <w:rsid w:val="220419EB"/>
    <w:rsid w:val="223E6ED3"/>
    <w:rsid w:val="227447E6"/>
    <w:rsid w:val="227848BC"/>
    <w:rsid w:val="227A3A68"/>
    <w:rsid w:val="229B10F2"/>
    <w:rsid w:val="22AA093B"/>
    <w:rsid w:val="22B37D01"/>
    <w:rsid w:val="22C419C7"/>
    <w:rsid w:val="22C660B8"/>
    <w:rsid w:val="22D16703"/>
    <w:rsid w:val="22F5269F"/>
    <w:rsid w:val="23014403"/>
    <w:rsid w:val="2346404E"/>
    <w:rsid w:val="23740BC6"/>
    <w:rsid w:val="238C3BB5"/>
    <w:rsid w:val="23AC3B24"/>
    <w:rsid w:val="23D66820"/>
    <w:rsid w:val="23E152D9"/>
    <w:rsid w:val="23E47020"/>
    <w:rsid w:val="240F3CB0"/>
    <w:rsid w:val="2440234D"/>
    <w:rsid w:val="245A50FA"/>
    <w:rsid w:val="2479711A"/>
    <w:rsid w:val="247C0470"/>
    <w:rsid w:val="24823B77"/>
    <w:rsid w:val="24883144"/>
    <w:rsid w:val="24A5408E"/>
    <w:rsid w:val="24AE02B9"/>
    <w:rsid w:val="24B82A3A"/>
    <w:rsid w:val="24E644F9"/>
    <w:rsid w:val="24ED13D3"/>
    <w:rsid w:val="250A23CC"/>
    <w:rsid w:val="250F113B"/>
    <w:rsid w:val="250F5B5C"/>
    <w:rsid w:val="25536915"/>
    <w:rsid w:val="256E51F2"/>
    <w:rsid w:val="257B4A34"/>
    <w:rsid w:val="257C5227"/>
    <w:rsid w:val="258D1234"/>
    <w:rsid w:val="259E60BB"/>
    <w:rsid w:val="25CD0AAB"/>
    <w:rsid w:val="25CD391F"/>
    <w:rsid w:val="25F32019"/>
    <w:rsid w:val="26035C8A"/>
    <w:rsid w:val="26150681"/>
    <w:rsid w:val="262652D2"/>
    <w:rsid w:val="26830B64"/>
    <w:rsid w:val="26945841"/>
    <w:rsid w:val="26CD0A7D"/>
    <w:rsid w:val="26E002DD"/>
    <w:rsid w:val="27080D13"/>
    <w:rsid w:val="272716E9"/>
    <w:rsid w:val="27AA1EF9"/>
    <w:rsid w:val="27ED5F3F"/>
    <w:rsid w:val="28485AB9"/>
    <w:rsid w:val="28552956"/>
    <w:rsid w:val="289A126E"/>
    <w:rsid w:val="28F706DE"/>
    <w:rsid w:val="28FC08B7"/>
    <w:rsid w:val="290818A1"/>
    <w:rsid w:val="29325B6B"/>
    <w:rsid w:val="294511DC"/>
    <w:rsid w:val="2952660A"/>
    <w:rsid w:val="29724112"/>
    <w:rsid w:val="298F625A"/>
    <w:rsid w:val="29927078"/>
    <w:rsid w:val="299549DF"/>
    <w:rsid w:val="299B43F0"/>
    <w:rsid w:val="29B24EBB"/>
    <w:rsid w:val="29F53858"/>
    <w:rsid w:val="2A2D6CA2"/>
    <w:rsid w:val="2A362B88"/>
    <w:rsid w:val="2A3A4979"/>
    <w:rsid w:val="2A6F605C"/>
    <w:rsid w:val="2A7B757A"/>
    <w:rsid w:val="2A881347"/>
    <w:rsid w:val="2A882BD1"/>
    <w:rsid w:val="2AAB5A07"/>
    <w:rsid w:val="2AB0027C"/>
    <w:rsid w:val="2AC62AAF"/>
    <w:rsid w:val="2B063527"/>
    <w:rsid w:val="2B1F62F8"/>
    <w:rsid w:val="2B2B5C45"/>
    <w:rsid w:val="2B454B69"/>
    <w:rsid w:val="2B59601A"/>
    <w:rsid w:val="2BA965BF"/>
    <w:rsid w:val="2BB2578D"/>
    <w:rsid w:val="2BC81746"/>
    <w:rsid w:val="2BEF5454"/>
    <w:rsid w:val="2C0E1D92"/>
    <w:rsid w:val="2C1737F6"/>
    <w:rsid w:val="2C617949"/>
    <w:rsid w:val="2C624A6D"/>
    <w:rsid w:val="2C782382"/>
    <w:rsid w:val="2C876525"/>
    <w:rsid w:val="2C9374F8"/>
    <w:rsid w:val="2CDB03F1"/>
    <w:rsid w:val="2CDF1479"/>
    <w:rsid w:val="2D314337"/>
    <w:rsid w:val="2D320A41"/>
    <w:rsid w:val="2D5A4472"/>
    <w:rsid w:val="2D615A1D"/>
    <w:rsid w:val="2D670FC7"/>
    <w:rsid w:val="2D6F243C"/>
    <w:rsid w:val="2D7C6DAB"/>
    <w:rsid w:val="2D861F85"/>
    <w:rsid w:val="2D9213BB"/>
    <w:rsid w:val="2D956594"/>
    <w:rsid w:val="2DB8419B"/>
    <w:rsid w:val="2DBC69AB"/>
    <w:rsid w:val="2DCB28DC"/>
    <w:rsid w:val="2DD24597"/>
    <w:rsid w:val="2DF2372A"/>
    <w:rsid w:val="2E0065A6"/>
    <w:rsid w:val="2E1D31CF"/>
    <w:rsid w:val="2E283370"/>
    <w:rsid w:val="2E29506F"/>
    <w:rsid w:val="2E58782F"/>
    <w:rsid w:val="2E747395"/>
    <w:rsid w:val="2EAC2156"/>
    <w:rsid w:val="2F006911"/>
    <w:rsid w:val="2F2023BF"/>
    <w:rsid w:val="2F280D7D"/>
    <w:rsid w:val="2F5F475F"/>
    <w:rsid w:val="2F8F4152"/>
    <w:rsid w:val="2F955DC6"/>
    <w:rsid w:val="2FAD5DD7"/>
    <w:rsid w:val="2FC36805"/>
    <w:rsid w:val="2FE44698"/>
    <w:rsid w:val="300B7A01"/>
    <w:rsid w:val="302A650D"/>
    <w:rsid w:val="30431545"/>
    <w:rsid w:val="305073FA"/>
    <w:rsid w:val="30593841"/>
    <w:rsid w:val="30761506"/>
    <w:rsid w:val="309E5B01"/>
    <w:rsid w:val="30C008C2"/>
    <w:rsid w:val="30C821F9"/>
    <w:rsid w:val="30EB66AF"/>
    <w:rsid w:val="30F24306"/>
    <w:rsid w:val="312815D9"/>
    <w:rsid w:val="312F2825"/>
    <w:rsid w:val="314324F7"/>
    <w:rsid w:val="31667D6C"/>
    <w:rsid w:val="31A25033"/>
    <w:rsid w:val="31A63050"/>
    <w:rsid w:val="31A7629C"/>
    <w:rsid w:val="31C477BB"/>
    <w:rsid w:val="31C83095"/>
    <w:rsid w:val="31D36692"/>
    <w:rsid w:val="31D85EE4"/>
    <w:rsid w:val="324A6CA9"/>
    <w:rsid w:val="32577751"/>
    <w:rsid w:val="325D43CF"/>
    <w:rsid w:val="327F0B25"/>
    <w:rsid w:val="32E30F27"/>
    <w:rsid w:val="32F70A27"/>
    <w:rsid w:val="33080E32"/>
    <w:rsid w:val="332A2ED3"/>
    <w:rsid w:val="334A6572"/>
    <w:rsid w:val="334D094D"/>
    <w:rsid w:val="339315EB"/>
    <w:rsid w:val="33B112FE"/>
    <w:rsid w:val="33B14520"/>
    <w:rsid w:val="33D44815"/>
    <w:rsid w:val="33E66664"/>
    <w:rsid w:val="33E715DF"/>
    <w:rsid w:val="33EC08DB"/>
    <w:rsid w:val="33F22054"/>
    <w:rsid w:val="34143B30"/>
    <w:rsid w:val="342072E2"/>
    <w:rsid w:val="34373B24"/>
    <w:rsid w:val="34B903B2"/>
    <w:rsid w:val="34DB2B07"/>
    <w:rsid w:val="34F543AF"/>
    <w:rsid w:val="35022526"/>
    <w:rsid w:val="35190466"/>
    <w:rsid w:val="35262426"/>
    <w:rsid w:val="353D7DD5"/>
    <w:rsid w:val="35500795"/>
    <w:rsid w:val="3570096B"/>
    <w:rsid w:val="357E4443"/>
    <w:rsid w:val="358F695C"/>
    <w:rsid w:val="35B17A24"/>
    <w:rsid w:val="35CE64C3"/>
    <w:rsid w:val="35E5397C"/>
    <w:rsid w:val="35F9349C"/>
    <w:rsid w:val="36003CCE"/>
    <w:rsid w:val="36044383"/>
    <w:rsid w:val="3605471E"/>
    <w:rsid w:val="365C4DC7"/>
    <w:rsid w:val="368A33CA"/>
    <w:rsid w:val="36B66032"/>
    <w:rsid w:val="36C16298"/>
    <w:rsid w:val="36D8116D"/>
    <w:rsid w:val="36F67234"/>
    <w:rsid w:val="372B7137"/>
    <w:rsid w:val="3740305A"/>
    <w:rsid w:val="375D40EC"/>
    <w:rsid w:val="376A7B77"/>
    <w:rsid w:val="37843E5A"/>
    <w:rsid w:val="37F108E7"/>
    <w:rsid w:val="381240E7"/>
    <w:rsid w:val="38263780"/>
    <w:rsid w:val="387F3206"/>
    <w:rsid w:val="38AE0CDB"/>
    <w:rsid w:val="38E8468D"/>
    <w:rsid w:val="38ED2766"/>
    <w:rsid w:val="39316244"/>
    <w:rsid w:val="39720AF4"/>
    <w:rsid w:val="398D1FB8"/>
    <w:rsid w:val="39935AEA"/>
    <w:rsid w:val="399B4680"/>
    <w:rsid w:val="39AD5611"/>
    <w:rsid w:val="39C12F52"/>
    <w:rsid w:val="39D0260B"/>
    <w:rsid w:val="39D46974"/>
    <w:rsid w:val="39DE5C54"/>
    <w:rsid w:val="39FB0114"/>
    <w:rsid w:val="3A2C0BE8"/>
    <w:rsid w:val="3A381EE4"/>
    <w:rsid w:val="3A3C4D16"/>
    <w:rsid w:val="3A7E6726"/>
    <w:rsid w:val="3A9A6FF7"/>
    <w:rsid w:val="3AA94511"/>
    <w:rsid w:val="3AD01AC3"/>
    <w:rsid w:val="3AD57229"/>
    <w:rsid w:val="3ADC27D5"/>
    <w:rsid w:val="3AEE2A67"/>
    <w:rsid w:val="3B050266"/>
    <w:rsid w:val="3B3B6826"/>
    <w:rsid w:val="3B512697"/>
    <w:rsid w:val="3B892C06"/>
    <w:rsid w:val="3B8D039C"/>
    <w:rsid w:val="3BB73A6C"/>
    <w:rsid w:val="3BB946D1"/>
    <w:rsid w:val="3BFB7FAD"/>
    <w:rsid w:val="3C5826DA"/>
    <w:rsid w:val="3CAC5A16"/>
    <w:rsid w:val="3CEB1EA8"/>
    <w:rsid w:val="3D58561D"/>
    <w:rsid w:val="3D7E15DB"/>
    <w:rsid w:val="3DDA1240"/>
    <w:rsid w:val="3DF35A70"/>
    <w:rsid w:val="3E093303"/>
    <w:rsid w:val="3E0A24D0"/>
    <w:rsid w:val="3E114AEC"/>
    <w:rsid w:val="3E1221FE"/>
    <w:rsid w:val="3E1B01F9"/>
    <w:rsid w:val="3E947F22"/>
    <w:rsid w:val="3EA60057"/>
    <w:rsid w:val="3EB0687A"/>
    <w:rsid w:val="3EB50F72"/>
    <w:rsid w:val="3ECA2E49"/>
    <w:rsid w:val="3ED1468A"/>
    <w:rsid w:val="3ED17DEB"/>
    <w:rsid w:val="3ED40E8C"/>
    <w:rsid w:val="3F254C46"/>
    <w:rsid w:val="3F323193"/>
    <w:rsid w:val="3F492960"/>
    <w:rsid w:val="3F59674B"/>
    <w:rsid w:val="3FF21052"/>
    <w:rsid w:val="3FFD467D"/>
    <w:rsid w:val="40635435"/>
    <w:rsid w:val="40D65C10"/>
    <w:rsid w:val="41060C0F"/>
    <w:rsid w:val="410A5DA9"/>
    <w:rsid w:val="41130B93"/>
    <w:rsid w:val="4125349A"/>
    <w:rsid w:val="41377507"/>
    <w:rsid w:val="413F6FE3"/>
    <w:rsid w:val="4179101C"/>
    <w:rsid w:val="419A61F2"/>
    <w:rsid w:val="41AD065F"/>
    <w:rsid w:val="41C709BE"/>
    <w:rsid w:val="41E17508"/>
    <w:rsid w:val="41E76B08"/>
    <w:rsid w:val="42327E06"/>
    <w:rsid w:val="4237085F"/>
    <w:rsid w:val="42397BFE"/>
    <w:rsid w:val="42857DF4"/>
    <w:rsid w:val="42DE14F2"/>
    <w:rsid w:val="42E37721"/>
    <w:rsid w:val="43027384"/>
    <w:rsid w:val="430B5B37"/>
    <w:rsid w:val="432D2E26"/>
    <w:rsid w:val="432D596B"/>
    <w:rsid w:val="43397FC5"/>
    <w:rsid w:val="43C4680A"/>
    <w:rsid w:val="440302AB"/>
    <w:rsid w:val="443A5D1A"/>
    <w:rsid w:val="44484FEB"/>
    <w:rsid w:val="445D4E40"/>
    <w:rsid w:val="446D2D01"/>
    <w:rsid w:val="448E29ED"/>
    <w:rsid w:val="44F621FC"/>
    <w:rsid w:val="45253443"/>
    <w:rsid w:val="45295E22"/>
    <w:rsid w:val="453E6ED8"/>
    <w:rsid w:val="456C74A4"/>
    <w:rsid w:val="45A13D1D"/>
    <w:rsid w:val="45A40CAC"/>
    <w:rsid w:val="45E824C1"/>
    <w:rsid w:val="462672E3"/>
    <w:rsid w:val="463B6A23"/>
    <w:rsid w:val="46587F28"/>
    <w:rsid w:val="46611098"/>
    <w:rsid w:val="46805F22"/>
    <w:rsid w:val="468437A4"/>
    <w:rsid w:val="46935D76"/>
    <w:rsid w:val="4694250E"/>
    <w:rsid w:val="46B50D6E"/>
    <w:rsid w:val="46E01F53"/>
    <w:rsid w:val="46E22B84"/>
    <w:rsid w:val="46F86683"/>
    <w:rsid w:val="470C3430"/>
    <w:rsid w:val="47271848"/>
    <w:rsid w:val="47972741"/>
    <w:rsid w:val="47BA1AA0"/>
    <w:rsid w:val="47DB5743"/>
    <w:rsid w:val="47E67A75"/>
    <w:rsid w:val="47EB4201"/>
    <w:rsid w:val="47FF5C0E"/>
    <w:rsid w:val="483F5F85"/>
    <w:rsid w:val="48593990"/>
    <w:rsid w:val="486542D7"/>
    <w:rsid w:val="48680347"/>
    <w:rsid w:val="488973F0"/>
    <w:rsid w:val="488C0C23"/>
    <w:rsid w:val="489F294F"/>
    <w:rsid w:val="48C95E2B"/>
    <w:rsid w:val="48F12A73"/>
    <w:rsid w:val="48FC4E13"/>
    <w:rsid w:val="49067966"/>
    <w:rsid w:val="49125B19"/>
    <w:rsid w:val="495D18DC"/>
    <w:rsid w:val="499B3500"/>
    <w:rsid w:val="49AA3B38"/>
    <w:rsid w:val="49B05381"/>
    <w:rsid w:val="49D25BC0"/>
    <w:rsid w:val="49DD11F8"/>
    <w:rsid w:val="49EB1EF0"/>
    <w:rsid w:val="49EF75B5"/>
    <w:rsid w:val="49F77455"/>
    <w:rsid w:val="4A0D6E27"/>
    <w:rsid w:val="4A1F401C"/>
    <w:rsid w:val="4A2A6C53"/>
    <w:rsid w:val="4A2E2277"/>
    <w:rsid w:val="4A4431FE"/>
    <w:rsid w:val="4A582AB7"/>
    <w:rsid w:val="4A6F624D"/>
    <w:rsid w:val="4A7A6072"/>
    <w:rsid w:val="4A97523F"/>
    <w:rsid w:val="4B0973A9"/>
    <w:rsid w:val="4B0B3846"/>
    <w:rsid w:val="4B155814"/>
    <w:rsid w:val="4B2671F3"/>
    <w:rsid w:val="4B8146CB"/>
    <w:rsid w:val="4BF308E3"/>
    <w:rsid w:val="4BFA7700"/>
    <w:rsid w:val="4C3373B9"/>
    <w:rsid w:val="4C565226"/>
    <w:rsid w:val="4CC27D4D"/>
    <w:rsid w:val="4CD939D1"/>
    <w:rsid w:val="4CFF221F"/>
    <w:rsid w:val="4D0E4F14"/>
    <w:rsid w:val="4D40284F"/>
    <w:rsid w:val="4D450ECF"/>
    <w:rsid w:val="4D6F55E7"/>
    <w:rsid w:val="4D744F6E"/>
    <w:rsid w:val="4DB5168B"/>
    <w:rsid w:val="4DB95875"/>
    <w:rsid w:val="4DFF70DC"/>
    <w:rsid w:val="4E2130B0"/>
    <w:rsid w:val="4E2C1700"/>
    <w:rsid w:val="4E2F059E"/>
    <w:rsid w:val="4E6C4033"/>
    <w:rsid w:val="4E6E4722"/>
    <w:rsid w:val="4E901CD5"/>
    <w:rsid w:val="4EAD14F3"/>
    <w:rsid w:val="4EC9684B"/>
    <w:rsid w:val="4EE158C9"/>
    <w:rsid w:val="4F094FD9"/>
    <w:rsid w:val="4F186740"/>
    <w:rsid w:val="4F306E2F"/>
    <w:rsid w:val="4F4B4D56"/>
    <w:rsid w:val="4F4F07A3"/>
    <w:rsid w:val="4F7271CD"/>
    <w:rsid w:val="4F757F0A"/>
    <w:rsid w:val="501023E5"/>
    <w:rsid w:val="502F6180"/>
    <w:rsid w:val="505E7C45"/>
    <w:rsid w:val="509D643C"/>
    <w:rsid w:val="50CC0A3F"/>
    <w:rsid w:val="50DF4787"/>
    <w:rsid w:val="50E16745"/>
    <w:rsid w:val="51071953"/>
    <w:rsid w:val="511D1FC6"/>
    <w:rsid w:val="514153EC"/>
    <w:rsid w:val="517F71B3"/>
    <w:rsid w:val="51B03CDB"/>
    <w:rsid w:val="51EF565C"/>
    <w:rsid w:val="520466A5"/>
    <w:rsid w:val="520D0ED9"/>
    <w:rsid w:val="523C75C2"/>
    <w:rsid w:val="52A02199"/>
    <w:rsid w:val="52C750AE"/>
    <w:rsid w:val="53034706"/>
    <w:rsid w:val="53086E32"/>
    <w:rsid w:val="532D674A"/>
    <w:rsid w:val="533D71AE"/>
    <w:rsid w:val="53416778"/>
    <w:rsid w:val="535D554A"/>
    <w:rsid w:val="53AD48A2"/>
    <w:rsid w:val="53B74779"/>
    <w:rsid w:val="53BC1A49"/>
    <w:rsid w:val="53C0656B"/>
    <w:rsid w:val="53D164E5"/>
    <w:rsid w:val="53F92E65"/>
    <w:rsid w:val="540D7893"/>
    <w:rsid w:val="541F73C2"/>
    <w:rsid w:val="54581538"/>
    <w:rsid w:val="546D3C73"/>
    <w:rsid w:val="54A072E9"/>
    <w:rsid w:val="54BB6681"/>
    <w:rsid w:val="54C82E2A"/>
    <w:rsid w:val="54CB0B32"/>
    <w:rsid w:val="551639E2"/>
    <w:rsid w:val="55454DBC"/>
    <w:rsid w:val="55723134"/>
    <w:rsid w:val="55C117E0"/>
    <w:rsid w:val="55C837C2"/>
    <w:rsid w:val="55D675A7"/>
    <w:rsid w:val="560A046E"/>
    <w:rsid w:val="56147630"/>
    <w:rsid w:val="56174A3B"/>
    <w:rsid w:val="56180B96"/>
    <w:rsid w:val="56595EDC"/>
    <w:rsid w:val="565D66FD"/>
    <w:rsid w:val="566F07DE"/>
    <w:rsid w:val="56726755"/>
    <w:rsid w:val="56A97EEE"/>
    <w:rsid w:val="56C27267"/>
    <w:rsid w:val="56D7191E"/>
    <w:rsid w:val="56EF4E5E"/>
    <w:rsid w:val="56FA704F"/>
    <w:rsid w:val="57287E75"/>
    <w:rsid w:val="57540352"/>
    <w:rsid w:val="576B2889"/>
    <w:rsid w:val="577322BA"/>
    <w:rsid w:val="57764CB7"/>
    <w:rsid w:val="577F6035"/>
    <w:rsid w:val="57A36740"/>
    <w:rsid w:val="57A92C10"/>
    <w:rsid w:val="57B170B5"/>
    <w:rsid w:val="57C70D48"/>
    <w:rsid w:val="57FC4555"/>
    <w:rsid w:val="581B64EE"/>
    <w:rsid w:val="581C3350"/>
    <w:rsid w:val="5835407E"/>
    <w:rsid w:val="585D623E"/>
    <w:rsid w:val="58977946"/>
    <w:rsid w:val="58CE0155"/>
    <w:rsid w:val="58EA2EB8"/>
    <w:rsid w:val="59524D11"/>
    <w:rsid w:val="596D6860"/>
    <w:rsid w:val="5992602F"/>
    <w:rsid w:val="599B4043"/>
    <w:rsid w:val="59AC4370"/>
    <w:rsid w:val="59CF3B18"/>
    <w:rsid w:val="59E614A6"/>
    <w:rsid w:val="5A235E14"/>
    <w:rsid w:val="5A4F2D52"/>
    <w:rsid w:val="5A5400AD"/>
    <w:rsid w:val="5AA02540"/>
    <w:rsid w:val="5AB0303B"/>
    <w:rsid w:val="5AB8130B"/>
    <w:rsid w:val="5AC046E0"/>
    <w:rsid w:val="5AF14410"/>
    <w:rsid w:val="5B270828"/>
    <w:rsid w:val="5B2C6AB4"/>
    <w:rsid w:val="5B457DEA"/>
    <w:rsid w:val="5B6A6FC0"/>
    <w:rsid w:val="5B767EC8"/>
    <w:rsid w:val="5B822245"/>
    <w:rsid w:val="5B840BDA"/>
    <w:rsid w:val="5BA32A10"/>
    <w:rsid w:val="5BC3398B"/>
    <w:rsid w:val="5BD36778"/>
    <w:rsid w:val="5C0B1AB2"/>
    <w:rsid w:val="5C0D30A4"/>
    <w:rsid w:val="5C210850"/>
    <w:rsid w:val="5C467B53"/>
    <w:rsid w:val="5C8F4B03"/>
    <w:rsid w:val="5CAC0FAA"/>
    <w:rsid w:val="5CB52A14"/>
    <w:rsid w:val="5CDB4232"/>
    <w:rsid w:val="5CFF5072"/>
    <w:rsid w:val="5D39006D"/>
    <w:rsid w:val="5D462ECB"/>
    <w:rsid w:val="5DA8297D"/>
    <w:rsid w:val="5DCA4C1F"/>
    <w:rsid w:val="5DCB606D"/>
    <w:rsid w:val="5DE428E5"/>
    <w:rsid w:val="5DE74F54"/>
    <w:rsid w:val="5DEA295F"/>
    <w:rsid w:val="5E017D1F"/>
    <w:rsid w:val="5E1D7CE7"/>
    <w:rsid w:val="5E604A6A"/>
    <w:rsid w:val="5E916C09"/>
    <w:rsid w:val="5EA16581"/>
    <w:rsid w:val="5EB40F2C"/>
    <w:rsid w:val="5ED04B3B"/>
    <w:rsid w:val="5EE2427D"/>
    <w:rsid w:val="5EE27CB0"/>
    <w:rsid w:val="5F347BCD"/>
    <w:rsid w:val="5F640157"/>
    <w:rsid w:val="5F8621BF"/>
    <w:rsid w:val="5F905B21"/>
    <w:rsid w:val="5FD613B8"/>
    <w:rsid w:val="6016407B"/>
    <w:rsid w:val="60283DD5"/>
    <w:rsid w:val="602D1320"/>
    <w:rsid w:val="602D5146"/>
    <w:rsid w:val="603318C9"/>
    <w:rsid w:val="60340108"/>
    <w:rsid w:val="60360434"/>
    <w:rsid w:val="606B316B"/>
    <w:rsid w:val="606B3AB7"/>
    <w:rsid w:val="60704DF9"/>
    <w:rsid w:val="60735B45"/>
    <w:rsid w:val="607D462F"/>
    <w:rsid w:val="60AB1C20"/>
    <w:rsid w:val="60D46174"/>
    <w:rsid w:val="60EF34A0"/>
    <w:rsid w:val="6107129C"/>
    <w:rsid w:val="61321152"/>
    <w:rsid w:val="614B5CDD"/>
    <w:rsid w:val="616E5CE6"/>
    <w:rsid w:val="61A63D11"/>
    <w:rsid w:val="61E42FD9"/>
    <w:rsid w:val="62091076"/>
    <w:rsid w:val="623E28F5"/>
    <w:rsid w:val="62481652"/>
    <w:rsid w:val="62572562"/>
    <w:rsid w:val="628F5EBC"/>
    <w:rsid w:val="62A530E3"/>
    <w:rsid w:val="62C0329A"/>
    <w:rsid w:val="62E11E4F"/>
    <w:rsid w:val="62F42B7E"/>
    <w:rsid w:val="62FC111B"/>
    <w:rsid w:val="633D68B6"/>
    <w:rsid w:val="6344210B"/>
    <w:rsid w:val="63560688"/>
    <w:rsid w:val="635A7469"/>
    <w:rsid w:val="63940C93"/>
    <w:rsid w:val="639B3E64"/>
    <w:rsid w:val="63B73B40"/>
    <w:rsid w:val="63CC05A1"/>
    <w:rsid w:val="64015DB4"/>
    <w:rsid w:val="6414303B"/>
    <w:rsid w:val="641A10B7"/>
    <w:rsid w:val="64587B79"/>
    <w:rsid w:val="64790089"/>
    <w:rsid w:val="64A87FAC"/>
    <w:rsid w:val="64AE5D21"/>
    <w:rsid w:val="64FB2C4C"/>
    <w:rsid w:val="65073470"/>
    <w:rsid w:val="656F2E5B"/>
    <w:rsid w:val="65C86CCA"/>
    <w:rsid w:val="65CD3CD1"/>
    <w:rsid w:val="65D36E12"/>
    <w:rsid w:val="65F16B38"/>
    <w:rsid w:val="66334230"/>
    <w:rsid w:val="66350470"/>
    <w:rsid w:val="666D617D"/>
    <w:rsid w:val="669C0DFC"/>
    <w:rsid w:val="66C4013A"/>
    <w:rsid w:val="66CC4AE3"/>
    <w:rsid w:val="66D42E0E"/>
    <w:rsid w:val="67110F5F"/>
    <w:rsid w:val="67224C00"/>
    <w:rsid w:val="67494326"/>
    <w:rsid w:val="676071B4"/>
    <w:rsid w:val="67703622"/>
    <w:rsid w:val="678707A8"/>
    <w:rsid w:val="67907306"/>
    <w:rsid w:val="67CF3423"/>
    <w:rsid w:val="67D705FD"/>
    <w:rsid w:val="67F111F7"/>
    <w:rsid w:val="68003CBB"/>
    <w:rsid w:val="68055B20"/>
    <w:rsid w:val="685D04B6"/>
    <w:rsid w:val="686A628E"/>
    <w:rsid w:val="68821350"/>
    <w:rsid w:val="68970A0D"/>
    <w:rsid w:val="68E66016"/>
    <w:rsid w:val="68F6432F"/>
    <w:rsid w:val="68F95739"/>
    <w:rsid w:val="696D0FAA"/>
    <w:rsid w:val="69814ADE"/>
    <w:rsid w:val="6997109D"/>
    <w:rsid w:val="69CB43AE"/>
    <w:rsid w:val="69DC7CDC"/>
    <w:rsid w:val="69DF0D92"/>
    <w:rsid w:val="69E22E5C"/>
    <w:rsid w:val="69F003A8"/>
    <w:rsid w:val="69F70CF2"/>
    <w:rsid w:val="6A116001"/>
    <w:rsid w:val="6A3F2F05"/>
    <w:rsid w:val="6A413A77"/>
    <w:rsid w:val="6A9A429A"/>
    <w:rsid w:val="6A9D6902"/>
    <w:rsid w:val="6AA36A2F"/>
    <w:rsid w:val="6AA44C9F"/>
    <w:rsid w:val="6AB30E1D"/>
    <w:rsid w:val="6AC64709"/>
    <w:rsid w:val="6AD2478B"/>
    <w:rsid w:val="6AE00ED0"/>
    <w:rsid w:val="6AE543AF"/>
    <w:rsid w:val="6B123B0E"/>
    <w:rsid w:val="6B453258"/>
    <w:rsid w:val="6B4C5E6E"/>
    <w:rsid w:val="6B6A0EB7"/>
    <w:rsid w:val="6BAD6554"/>
    <w:rsid w:val="6BFD6978"/>
    <w:rsid w:val="6BFE5877"/>
    <w:rsid w:val="6C185D78"/>
    <w:rsid w:val="6C2F502A"/>
    <w:rsid w:val="6C521E59"/>
    <w:rsid w:val="6C6B311D"/>
    <w:rsid w:val="6CED1E1A"/>
    <w:rsid w:val="6CFC56A5"/>
    <w:rsid w:val="6D16317D"/>
    <w:rsid w:val="6D490A2A"/>
    <w:rsid w:val="6D5A32F1"/>
    <w:rsid w:val="6D6531C3"/>
    <w:rsid w:val="6D813E3A"/>
    <w:rsid w:val="6D9A531C"/>
    <w:rsid w:val="6D9E3D41"/>
    <w:rsid w:val="6DAA5179"/>
    <w:rsid w:val="6DB86D38"/>
    <w:rsid w:val="6DE36A63"/>
    <w:rsid w:val="6DFE5431"/>
    <w:rsid w:val="6E110DC2"/>
    <w:rsid w:val="6E16421C"/>
    <w:rsid w:val="6E3C29CE"/>
    <w:rsid w:val="6E442850"/>
    <w:rsid w:val="6E49526F"/>
    <w:rsid w:val="6E5E28EE"/>
    <w:rsid w:val="6E5E608F"/>
    <w:rsid w:val="6E7B676D"/>
    <w:rsid w:val="6E7C47D7"/>
    <w:rsid w:val="6E8B3857"/>
    <w:rsid w:val="6E8C666B"/>
    <w:rsid w:val="6E9E18B7"/>
    <w:rsid w:val="6EA30F94"/>
    <w:rsid w:val="6EA96AA0"/>
    <w:rsid w:val="6EAE3D24"/>
    <w:rsid w:val="6EB107DE"/>
    <w:rsid w:val="6ECC6812"/>
    <w:rsid w:val="6EDD78CD"/>
    <w:rsid w:val="6EE90867"/>
    <w:rsid w:val="6F777C97"/>
    <w:rsid w:val="6FB71A19"/>
    <w:rsid w:val="6FC8334E"/>
    <w:rsid w:val="6FC91269"/>
    <w:rsid w:val="70070201"/>
    <w:rsid w:val="70182A05"/>
    <w:rsid w:val="702F0BDC"/>
    <w:rsid w:val="706A2F3F"/>
    <w:rsid w:val="7073156A"/>
    <w:rsid w:val="70851D00"/>
    <w:rsid w:val="70867D48"/>
    <w:rsid w:val="70A97E31"/>
    <w:rsid w:val="70E6771C"/>
    <w:rsid w:val="70F4015F"/>
    <w:rsid w:val="71226EB7"/>
    <w:rsid w:val="712663D9"/>
    <w:rsid w:val="713101B7"/>
    <w:rsid w:val="71346B8C"/>
    <w:rsid w:val="714F0375"/>
    <w:rsid w:val="71716F4F"/>
    <w:rsid w:val="71BA454A"/>
    <w:rsid w:val="721F7DDE"/>
    <w:rsid w:val="72383747"/>
    <w:rsid w:val="723D4B42"/>
    <w:rsid w:val="726237BB"/>
    <w:rsid w:val="72BE33D5"/>
    <w:rsid w:val="72CA1429"/>
    <w:rsid w:val="72D81256"/>
    <w:rsid w:val="72F2743D"/>
    <w:rsid w:val="730A4897"/>
    <w:rsid w:val="732C48C0"/>
    <w:rsid w:val="732F054E"/>
    <w:rsid w:val="733B267C"/>
    <w:rsid w:val="73491064"/>
    <w:rsid w:val="738D406E"/>
    <w:rsid w:val="73AE7765"/>
    <w:rsid w:val="73B05774"/>
    <w:rsid w:val="73E74F0E"/>
    <w:rsid w:val="74077AAB"/>
    <w:rsid w:val="74105A14"/>
    <w:rsid w:val="742B572F"/>
    <w:rsid w:val="743D44AE"/>
    <w:rsid w:val="74516CD2"/>
    <w:rsid w:val="747364DC"/>
    <w:rsid w:val="74765187"/>
    <w:rsid w:val="74780A1E"/>
    <w:rsid w:val="74AA2A30"/>
    <w:rsid w:val="753D3AB8"/>
    <w:rsid w:val="75D00824"/>
    <w:rsid w:val="75E54F6C"/>
    <w:rsid w:val="762265AA"/>
    <w:rsid w:val="762B548D"/>
    <w:rsid w:val="762D5034"/>
    <w:rsid w:val="766C6FAA"/>
    <w:rsid w:val="767529DF"/>
    <w:rsid w:val="768A5173"/>
    <w:rsid w:val="76AE66B8"/>
    <w:rsid w:val="76FE1944"/>
    <w:rsid w:val="77106DC0"/>
    <w:rsid w:val="77446F2A"/>
    <w:rsid w:val="776B2A9B"/>
    <w:rsid w:val="77714EF0"/>
    <w:rsid w:val="778F6793"/>
    <w:rsid w:val="77AB547D"/>
    <w:rsid w:val="77B51D7E"/>
    <w:rsid w:val="77D82ACA"/>
    <w:rsid w:val="77EA3A69"/>
    <w:rsid w:val="77F15827"/>
    <w:rsid w:val="7814708D"/>
    <w:rsid w:val="784C10FC"/>
    <w:rsid w:val="789B09AA"/>
    <w:rsid w:val="78A17B19"/>
    <w:rsid w:val="78AA06E0"/>
    <w:rsid w:val="78CB3B93"/>
    <w:rsid w:val="78E762C9"/>
    <w:rsid w:val="78EA6EB4"/>
    <w:rsid w:val="794D3EBD"/>
    <w:rsid w:val="79781A5A"/>
    <w:rsid w:val="79C2277B"/>
    <w:rsid w:val="79C61836"/>
    <w:rsid w:val="7A001D45"/>
    <w:rsid w:val="7A0E18DC"/>
    <w:rsid w:val="7A58401A"/>
    <w:rsid w:val="7A7F28A6"/>
    <w:rsid w:val="7AA2411E"/>
    <w:rsid w:val="7AA744F4"/>
    <w:rsid w:val="7AAE332D"/>
    <w:rsid w:val="7AC002CA"/>
    <w:rsid w:val="7AFA3C7E"/>
    <w:rsid w:val="7B0E3CB2"/>
    <w:rsid w:val="7B101F9B"/>
    <w:rsid w:val="7B1515DB"/>
    <w:rsid w:val="7B2D1B2E"/>
    <w:rsid w:val="7B341F81"/>
    <w:rsid w:val="7B995C9D"/>
    <w:rsid w:val="7BA5576E"/>
    <w:rsid w:val="7BCD1C4C"/>
    <w:rsid w:val="7BD72549"/>
    <w:rsid w:val="7C001CB3"/>
    <w:rsid w:val="7C257AEB"/>
    <w:rsid w:val="7C31472E"/>
    <w:rsid w:val="7C52232E"/>
    <w:rsid w:val="7C862471"/>
    <w:rsid w:val="7CAD61DE"/>
    <w:rsid w:val="7CE05242"/>
    <w:rsid w:val="7CFE0CE6"/>
    <w:rsid w:val="7D205C62"/>
    <w:rsid w:val="7D2F56CB"/>
    <w:rsid w:val="7D443CBF"/>
    <w:rsid w:val="7D4D5F1B"/>
    <w:rsid w:val="7D5F5272"/>
    <w:rsid w:val="7D6D074E"/>
    <w:rsid w:val="7D9858D2"/>
    <w:rsid w:val="7DA11683"/>
    <w:rsid w:val="7DAA1DDF"/>
    <w:rsid w:val="7DCC26B1"/>
    <w:rsid w:val="7DCD459A"/>
    <w:rsid w:val="7DD44A1D"/>
    <w:rsid w:val="7DE3617C"/>
    <w:rsid w:val="7DF74D0A"/>
    <w:rsid w:val="7DFA4DC1"/>
    <w:rsid w:val="7E096BE4"/>
    <w:rsid w:val="7E1072F7"/>
    <w:rsid w:val="7E1C5A6A"/>
    <w:rsid w:val="7E2E4CCA"/>
    <w:rsid w:val="7E815C3E"/>
    <w:rsid w:val="7E89082D"/>
    <w:rsid w:val="7EBD6A79"/>
    <w:rsid w:val="7EE84D7C"/>
    <w:rsid w:val="7F0A1018"/>
    <w:rsid w:val="7F265E64"/>
    <w:rsid w:val="7FC75AA9"/>
    <w:rsid w:val="7FF1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60"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26"/>
    <w:qFormat/>
    <w:uiPriority w:val="0"/>
    <w:pPr>
      <w:keepNext/>
      <w:keepLines/>
      <w:outlineLvl w:val="0"/>
    </w:pPr>
    <w:rPr>
      <w:rFonts w:ascii="黑体" w:hAnsi="黑体" w:eastAsia="黑体"/>
      <w:b/>
      <w:kern w:val="44"/>
    </w:rPr>
  </w:style>
  <w:style w:type="paragraph" w:styleId="4">
    <w:name w:val="heading 2"/>
    <w:basedOn w:val="1"/>
    <w:next w:val="1"/>
    <w:link w:val="27"/>
    <w:unhideWhenUsed/>
    <w:qFormat/>
    <w:uiPriority w:val="0"/>
    <w:pPr>
      <w:keepNext/>
      <w:keepLines/>
      <w:outlineLvl w:val="1"/>
    </w:pPr>
    <w:rPr>
      <w:b/>
    </w:rPr>
  </w:style>
  <w:style w:type="paragraph" w:styleId="5">
    <w:name w:val="heading 3"/>
    <w:basedOn w:val="1"/>
    <w:next w:val="1"/>
    <w:unhideWhenUsed/>
    <w:qFormat/>
    <w:uiPriority w:val="0"/>
    <w:pPr>
      <w:keepNext/>
      <w:keepLines/>
      <w:outlineLvl w:val="2"/>
    </w:pPr>
    <w:rPr>
      <w:b/>
    </w:rPr>
  </w:style>
  <w:style w:type="paragraph" w:styleId="2">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toc 3"/>
    <w:basedOn w:val="1"/>
    <w:next w:val="1"/>
    <w:qFormat/>
    <w:uiPriority w:val="0"/>
    <w:pPr>
      <w:ind w:left="840" w:leftChars="400"/>
    </w:pPr>
  </w:style>
  <w:style w:type="paragraph" w:styleId="8">
    <w:name w:val="Balloon Text"/>
    <w:basedOn w:val="1"/>
    <w:link w:val="24"/>
    <w:qFormat/>
    <w:uiPriority w:val="0"/>
    <w:pPr>
      <w:spacing w:line="240" w:lineRule="auto"/>
    </w:pPr>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footnote text"/>
    <w:basedOn w:val="1"/>
    <w:unhideWhenUsed/>
    <w:qFormat/>
    <w:uiPriority w:val="99"/>
    <w:pPr>
      <w:snapToGrid w:val="0"/>
      <w:jc w:val="left"/>
    </w:pPr>
    <w:rPr>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jc w:val="left"/>
    </w:pPr>
    <w:rPr>
      <w:kern w:val="0"/>
      <w:sz w:val="24"/>
    </w:rPr>
  </w:style>
  <w:style w:type="paragraph" w:styleId="15">
    <w:name w:val="Title"/>
    <w:basedOn w:val="1"/>
    <w:next w:val="1"/>
    <w:qFormat/>
    <w:uiPriority w:val="0"/>
    <w:pPr>
      <w:jc w:val="center"/>
      <w:outlineLvl w:val="0"/>
    </w:pPr>
    <w:rPr>
      <w:rFonts w:ascii="Cambria" w:hAnsi="Cambria" w:eastAsia="黑体"/>
      <w:b/>
      <w:bCs/>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character" w:styleId="21">
    <w:name w:val="footnote reference"/>
    <w:qFormat/>
    <w:uiPriority w:val="99"/>
    <w:rPr>
      <w:vertAlign w:val="superscript"/>
    </w:rPr>
  </w:style>
  <w:style w:type="paragraph" w:styleId="22">
    <w:name w:val="List Paragraph"/>
    <w:basedOn w:val="1"/>
    <w:qFormat/>
    <w:uiPriority w:val="99"/>
    <w:pPr>
      <w:ind w:firstLine="420"/>
    </w:pPr>
  </w:style>
  <w:style w:type="character" w:customStyle="1" w:styleId="23">
    <w:name w:val="页脚 Char"/>
    <w:basedOn w:val="18"/>
    <w:link w:val="9"/>
    <w:qFormat/>
    <w:uiPriority w:val="99"/>
    <w:rPr>
      <w:rFonts w:ascii="仿宋_GB2312" w:hAnsi="仿宋_GB2312" w:eastAsia="仿宋_GB2312"/>
      <w:kern w:val="2"/>
      <w:sz w:val="18"/>
      <w:szCs w:val="24"/>
    </w:rPr>
  </w:style>
  <w:style w:type="character" w:customStyle="1" w:styleId="24">
    <w:name w:val="批注框文本 Char"/>
    <w:basedOn w:val="18"/>
    <w:link w:val="8"/>
    <w:qFormat/>
    <w:uiPriority w:val="0"/>
    <w:rPr>
      <w:rFonts w:ascii="仿宋_GB2312" w:hAnsi="仿宋_GB2312" w:eastAsia="仿宋_GB2312"/>
      <w:kern w:val="2"/>
      <w:sz w:val="18"/>
      <w:szCs w:val="18"/>
    </w:rPr>
  </w:style>
  <w:style w:type="paragraph" w:customStyle="1" w:styleId="25">
    <w:name w:val="闻政正文"/>
    <w:basedOn w:val="1"/>
    <w:qFormat/>
    <w:uiPriority w:val="0"/>
    <w:pPr>
      <w:spacing w:line="500" w:lineRule="exact"/>
      <w:ind w:firstLine="200" w:firstLineChars="200"/>
    </w:pPr>
    <w:rPr>
      <w:rFonts w:ascii="Times New Roman" w:hAnsi="Times New Roman" w:eastAsia="仿宋_GB2312" w:cs="Times New Roman"/>
      <w:kern w:val="0"/>
      <w:sz w:val="28"/>
      <w:szCs w:val="28"/>
      <w:lang w:val="zh-CN"/>
    </w:rPr>
  </w:style>
  <w:style w:type="character" w:customStyle="1" w:styleId="26">
    <w:name w:val="标题 1 Char"/>
    <w:link w:val="3"/>
    <w:qFormat/>
    <w:uiPriority w:val="0"/>
    <w:rPr>
      <w:rFonts w:ascii="黑体" w:hAnsi="黑体" w:eastAsia="黑体"/>
      <w:b/>
      <w:kern w:val="44"/>
    </w:rPr>
  </w:style>
  <w:style w:type="character" w:customStyle="1" w:styleId="27">
    <w:name w:val="标题 2 Char"/>
    <w:link w:val="4"/>
    <w:qFormat/>
    <w:uiPriority w:val="0"/>
    <w:rPr>
      <w:b/>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WPSOffice手动目录 2"/>
    <w:qFormat/>
    <w:uiPriority w:val="0"/>
    <w:pPr>
      <w:ind w:leftChars="200"/>
    </w:pPr>
    <w:rPr>
      <w:rFonts w:ascii="Calibri" w:hAnsi="Calibri" w:eastAsia="宋体" w:cs="Times New Roman"/>
      <w:sz w:val="20"/>
      <w:szCs w:val="20"/>
    </w:rPr>
  </w:style>
  <w:style w:type="character" w:customStyle="1" w:styleId="30">
    <w:name w:val="font01"/>
    <w:basedOn w:val="1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6" Type="http://schemas.microsoft.com/office/2011/relationships/chartColorStyle" Target="colors2.xml"/><Relationship Id="rId5" Type="http://schemas.microsoft.com/office/2011/relationships/chartStyle" Target="style2.xml"/><Relationship Id="rId4" Type="http://schemas.openxmlformats.org/officeDocument/2006/relationships/image" Target="../media/image25.png"/><Relationship Id="rId3" Type="http://schemas.openxmlformats.org/officeDocument/2006/relationships/image" Target="../media/image24.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2489;&#25928;&#35780;&#20215;\&#32844;&#33021;&#37096;&#29579;&#20426;&#28059;&#31227;&#20132;&#30005;&#23376;&#36164;&#26009;\&#30333;&#38134;&#24066;&#29615;&#20445;&#23616;\&#25351;&#26631;&#20307;&#31995;&#12289;&#35843;&#26597;&#38382;&#21367;&#21450;&#20854;&#23427;\&#25968;&#25454;&#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省委编办</a:t>
            </a:r>
            <a:r>
              <a:rPr lang="en-US" altLang="zh-CN"/>
              <a:t>2021</a:t>
            </a:r>
            <a:r>
              <a:rPr altLang="en-US"/>
              <a:t>年业务费项目绩效评价总体得分情况</a:t>
            </a:r>
            <a:endParaRPr altLang="en-US"/>
          </a:p>
        </c:rich>
      </c:tx>
      <c:layout>
        <c:manualLayout>
          <c:xMode val="edge"/>
          <c:yMode val="edge"/>
          <c:x val="0.10486730639641"/>
          <c:y val="0.0279986422007448"/>
        </c:manualLayout>
      </c:layout>
      <c:overlay val="0"/>
      <c:spPr>
        <a:noFill/>
        <a:ln>
          <a:noFill/>
        </a:ln>
        <a:effectLst/>
      </c:spPr>
    </c:title>
    <c:autoTitleDeleted val="0"/>
    <c:plotArea>
      <c:layout>
        <c:manualLayout>
          <c:layoutTarget val="inner"/>
          <c:xMode val="edge"/>
          <c:yMode val="edge"/>
          <c:x val="0.101333333333333"/>
          <c:y val="0.303240740740741"/>
          <c:w val="0.839638888888889"/>
          <c:h val="0.569537037037037"/>
        </c:manualLayout>
      </c:layout>
      <c:barChart>
        <c:barDir val="col"/>
        <c:grouping val="clustered"/>
        <c:varyColors val="0"/>
        <c:ser>
          <c:idx val="0"/>
          <c:order val="0"/>
          <c:tx>
            <c:strRef>
              <c:f>Sheet1!$A$2</c:f>
              <c:strCache>
                <c:ptCount val="1"/>
                <c:pt idx="0">
                  <c:v>分值</c:v>
                </c:pt>
              </c:strCache>
            </c:strRef>
          </c:tx>
          <c:spPr>
            <a:blipFill rotWithShape="1">
              <a:blip xmlns:r="http://schemas.openxmlformats.org/officeDocument/2006/relationships" r:embed="rId3"/>
              <a:stretch>
                <a:fillRect/>
              </a:stretch>
            </a:blipFill>
            <a:ln>
              <a:noFill/>
            </a:ln>
            <a:effectLst/>
          </c:spPr>
          <c:invertIfNegative val="0"/>
          <c:dLbls>
            <c:delete val="1"/>
          </c:dLbls>
          <c:cat>
            <c:strRef>
              <c:f>Sheet1!$B$1:$E$1</c:f>
              <c:strCache>
                <c:ptCount val="4"/>
                <c:pt idx="0">
                  <c:v>决策</c:v>
                </c:pt>
                <c:pt idx="1">
                  <c:v>过程</c:v>
                </c:pt>
                <c:pt idx="2">
                  <c:v>产出</c:v>
                </c:pt>
                <c:pt idx="3">
                  <c:v>效益</c:v>
                </c:pt>
              </c:strCache>
            </c:strRef>
          </c:cat>
          <c:val>
            <c:numRef>
              <c:f>Sheet1!$B$2:$E$2</c:f>
              <c:numCache>
                <c:formatCode>General</c:formatCode>
                <c:ptCount val="4"/>
                <c:pt idx="0">
                  <c:v>12</c:v>
                </c:pt>
                <c:pt idx="1">
                  <c:v>25</c:v>
                </c:pt>
                <c:pt idx="2">
                  <c:v>37</c:v>
                </c:pt>
                <c:pt idx="3">
                  <c:v>26</c:v>
                </c:pt>
              </c:numCache>
            </c:numRef>
          </c:val>
        </c:ser>
        <c:ser>
          <c:idx val="1"/>
          <c:order val="1"/>
          <c:tx>
            <c:strRef>
              <c:f>Sheet1!$A$3</c:f>
              <c:strCache>
                <c:ptCount val="1"/>
                <c:pt idx="0">
                  <c:v>得分</c:v>
                </c:pt>
              </c:strCache>
            </c:strRef>
          </c:tx>
          <c:spPr>
            <a:blipFill rotWithShape="1">
              <a:blip xmlns:r="http://schemas.openxmlformats.org/officeDocument/2006/relationships" r:embed="rId4"/>
              <a:stretch>
                <a:fillRect/>
              </a:stretch>
            </a:blipFill>
            <a:ln>
              <a:noFill/>
            </a:ln>
            <a:effectLst/>
          </c:spPr>
          <c:invertIfNegative val="0"/>
          <c:dLbls>
            <c:delete val="1"/>
          </c:dLbls>
          <c:cat>
            <c:strRef>
              <c:f>Sheet1!$B$1:$E$1</c:f>
              <c:strCache>
                <c:ptCount val="4"/>
                <c:pt idx="0">
                  <c:v>决策</c:v>
                </c:pt>
                <c:pt idx="1">
                  <c:v>过程</c:v>
                </c:pt>
                <c:pt idx="2">
                  <c:v>产出</c:v>
                </c:pt>
                <c:pt idx="3">
                  <c:v>效益</c:v>
                </c:pt>
              </c:strCache>
            </c:strRef>
          </c:cat>
          <c:val>
            <c:numRef>
              <c:f>Sheet1!$B$3:$E$3</c:f>
              <c:numCache>
                <c:formatCode>General</c:formatCode>
                <c:ptCount val="4"/>
                <c:pt idx="0">
                  <c:v>10</c:v>
                </c:pt>
                <c:pt idx="1">
                  <c:v>24</c:v>
                </c:pt>
                <c:pt idx="2">
                  <c:v>36.9</c:v>
                </c:pt>
                <c:pt idx="3">
                  <c:v>25.8</c:v>
                </c:pt>
              </c:numCache>
            </c:numRef>
          </c:val>
        </c:ser>
        <c:dLbls>
          <c:showLegendKey val="0"/>
          <c:showVal val="0"/>
          <c:showCatName val="0"/>
          <c:showSerName val="0"/>
          <c:showPercent val="0"/>
          <c:showBubbleSize val="0"/>
        </c:dLbls>
        <c:gapWidth val="168"/>
        <c:overlap val="-14"/>
        <c:axId val="424335841"/>
        <c:axId val="976508146"/>
      </c:barChart>
      <c:catAx>
        <c:axId val="424335841"/>
        <c:scaling>
          <c:orientation val="minMax"/>
        </c:scaling>
        <c:delete val="0"/>
        <c:axPos val="b"/>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976508146"/>
        <c:crosses val="autoZero"/>
        <c:auto val="1"/>
        <c:lblAlgn val="ctr"/>
        <c:lblOffset val="100"/>
        <c:noMultiLvlLbl val="0"/>
      </c:catAx>
      <c:valAx>
        <c:axId val="976508146"/>
        <c:scaling>
          <c:orientation val="minMax"/>
        </c:scaling>
        <c:delete val="0"/>
        <c:axPos val="l"/>
        <c:majorGridlines>
          <c:spPr>
            <a:ln w="9525" cap="flat" cmpd="sng" algn="ctr">
              <a:solidFill>
                <a:sysClr val="window" lastClr="FFFFFF">
                  <a:lumMod val="95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424335841"/>
        <c:crosses val="autoZero"/>
        <c:crossBetween val="between"/>
      </c:valAx>
      <c:spPr>
        <a:noFill/>
        <a:ln>
          <a:noFill/>
        </a:ln>
        <a:effectLst/>
      </c:spPr>
    </c:plotArea>
    <c:legend>
      <c:legendPos val="t"/>
      <c:layout>
        <c:manualLayout>
          <c:xMode val="edge"/>
          <c:yMode val="edge"/>
          <c:x val="0.0461064411235644"/>
          <c:y val="0.162071880807295"/>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chart>
  <c:spPr>
    <a:noFill/>
    <a:ln w="12700" cap="flat" cmpd="sng" algn="ctr">
      <a:noFill/>
      <a:prstDash val="solid"/>
      <a:round/>
    </a:ln>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rgbClr val="C00000"/>
              </a:solidFill>
              <a:ln w="19050">
                <a:solidFill>
                  <a:schemeClr val="lt1"/>
                </a:solidFill>
              </a:ln>
              <a:effectLst/>
            </c:spPr>
          </c:dPt>
          <c:dLbls>
            <c:dLbl>
              <c:idx val="3"/>
              <c:layout>
                <c:manualLayout>
                  <c:x val="0.0833333333333333"/>
                  <c:y val="0.0173611111111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[数据分析.xlsx]满意度!$B$7:$E$7</c:f>
              <c:strCache>
                <c:ptCount val="4"/>
                <c:pt idx="0">
                  <c:v>非常满意</c:v>
                </c:pt>
                <c:pt idx="1">
                  <c:v>满意</c:v>
                </c:pt>
                <c:pt idx="2">
                  <c:v>不满意</c:v>
                </c:pt>
                <c:pt idx="3">
                  <c:v>非常不满意</c:v>
                </c:pt>
              </c:strCache>
            </c:strRef>
          </c:cat>
          <c:val>
            <c:numRef>
              <c:f>[数据分析.xlsx]满意度!$B$8:$E$8</c:f>
              <c:numCache>
                <c:formatCode>0.00%</c:formatCode>
                <c:ptCount val="4"/>
                <c:pt idx="0">
                  <c:v>0.8519</c:v>
                </c:pt>
                <c:pt idx="1">
                  <c:v>0.1481</c:v>
                </c:pt>
                <c:pt idx="2">
                  <c:v>0.181818181818182</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26790</Words>
  <Characters>28226</Characters>
  <Lines>1</Lines>
  <Paragraphs>1</Paragraphs>
  <TotalTime>26</TotalTime>
  <ScaleCrop>false</ScaleCrop>
  <LinksUpToDate>false</LinksUpToDate>
  <CharactersWithSpaces>30049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2020-03-18T06:40:00Z</dcterms:created>
  <dc:creator>似水迷雾</dc:creator>
  <cp:lastModifiedBy>祖保</cp:lastModifiedBy>
  <cp:lastPrinted>2022-06-22T04:23:08Z</cp:lastPrinted>
  <dcterms:modified xsi:type="dcterms:W3CDTF">2022-06-22T04:25:12Z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5CE79990B0B0436895F730829B47E05C</vt:lpwstr>
  </property>
</Properties>
</file>